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3767" w:rsidRPr="00CE281C" w:rsidTr="00E33AF3">
        <w:tc>
          <w:tcPr>
            <w:tcW w:w="9936" w:type="dxa"/>
          </w:tcPr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РОССИЙСКАЯ ФЕДЕРАЦИЯ</w:t>
            </w:r>
          </w:p>
          <w:p w:rsidR="00BD3767" w:rsidRPr="00CE281C" w:rsidRDefault="00BD3767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РОСТОВСКАЯ ОБЛАСТЬ</w:t>
            </w:r>
          </w:p>
          <w:p w:rsidR="00BD3767" w:rsidRPr="00CE281C" w:rsidRDefault="00BD3767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ТАЦИНСКИЙ РАЙОН</w:t>
            </w:r>
          </w:p>
          <w:p w:rsidR="00BD3767" w:rsidRPr="00CE281C" w:rsidRDefault="00BD3767" w:rsidP="00E33AF3">
            <w:pPr>
              <w:jc w:val="center"/>
              <w:rPr>
                <w:b/>
                <w:sz w:val="8"/>
                <w:szCs w:val="8"/>
              </w:rPr>
            </w:pPr>
          </w:p>
          <w:p w:rsidR="00BD3767" w:rsidRPr="00CE281C" w:rsidRDefault="00BD3767" w:rsidP="00E33AF3">
            <w:pPr>
              <w:jc w:val="center"/>
              <w:rPr>
                <w:b/>
                <w:sz w:val="20"/>
                <w:szCs w:val="20"/>
              </w:rPr>
            </w:pPr>
            <w:r w:rsidRPr="00CE281C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D3767" w:rsidRPr="00CE281C" w:rsidRDefault="00BD3767" w:rsidP="00E33AF3">
            <w:pPr>
              <w:jc w:val="center"/>
              <w:rPr>
                <w:b/>
                <w:sz w:val="16"/>
                <w:szCs w:val="16"/>
              </w:rPr>
            </w:pPr>
          </w:p>
          <w:p w:rsidR="00BD3767" w:rsidRPr="00CE281C" w:rsidRDefault="00BD3767" w:rsidP="00E33AF3">
            <w:pPr>
              <w:jc w:val="center"/>
            </w:pPr>
            <w:r w:rsidRPr="00CE281C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D3767" w:rsidRPr="00CE281C" w:rsidRDefault="00BD3767" w:rsidP="00BD3767">
      <w:pPr>
        <w:rPr>
          <w:sz w:val="16"/>
          <w:szCs w:val="16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  <w:r w:rsidRPr="002C26AD">
        <w:rPr>
          <w:sz w:val="28"/>
          <w:szCs w:val="28"/>
        </w:rPr>
        <w:t>23 декабря 2014г.                                №  86                                     х.Ковылкин</w:t>
      </w: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  <w:r w:rsidRPr="002C26AD">
        <w:rPr>
          <w:sz w:val="28"/>
          <w:szCs w:val="28"/>
        </w:rPr>
        <w:t>О внесении изменений в постановление</w:t>
      </w:r>
    </w:p>
    <w:p w:rsidR="00BD3767" w:rsidRDefault="00BD3767" w:rsidP="00BD3767">
      <w:pPr>
        <w:rPr>
          <w:sz w:val="28"/>
          <w:szCs w:val="28"/>
        </w:rPr>
      </w:pPr>
      <w:r w:rsidRPr="002C26AD">
        <w:rPr>
          <w:sz w:val="28"/>
          <w:szCs w:val="28"/>
        </w:rPr>
        <w:t xml:space="preserve"> Ковылкинского сельского поселения </w:t>
      </w:r>
    </w:p>
    <w:p w:rsidR="00BD3767" w:rsidRPr="002C26AD" w:rsidRDefault="00BD3767" w:rsidP="00BD3767">
      <w:pPr>
        <w:rPr>
          <w:sz w:val="28"/>
          <w:szCs w:val="28"/>
        </w:rPr>
      </w:pPr>
      <w:r w:rsidRPr="002C26AD">
        <w:rPr>
          <w:sz w:val="28"/>
          <w:szCs w:val="28"/>
        </w:rPr>
        <w:t xml:space="preserve"> от 30.09.2013 № 97</w:t>
      </w: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  <w:r w:rsidRPr="002C26AD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  <w:r w:rsidRPr="002C26AD">
        <w:rPr>
          <w:sz w:val="28"/>
          <w:szCs w:val="28"/>
        </w:rPr>
        <w:t>ПОСТАНОВЛЯЮ:</w:t>
      </w: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2C26AD">
        <w:rPr>
          <w:sz w:val="28"/>
          <w:szCs w:val="28"/>
        </w:rPr>
        <w:t>Приложение к постановлению  Ковылкинского сельского поселения Тацинского района от 30.09.2013 № 97  «муниципальная программа «Развитие культу</w:t>
      </w:r>
      <w:r>
        <w:rPr>
          <w:sz w:val="28"/>
          <w:szCs w:val="28"/>
        </w:rPr>
        <w:t>ры» Ковылкинского  сельского поселения»  и</w:t>
      </w:r>
      <w:r w:rsidRPr="002C26AD">
        <w:rPr>
          <w:sz w:val="28"/>
          <w:szCs w:val="28"/>
        </w:rPr>
        <w:t xml:space="preserve">зложить в новой редакции согласно приложению к </w:t>
      </w:r>
      <w:proofErr w:type="spellStart"/>
      <w:r w:rsidRPr="002C26AD">
        <w:rPr>
          <w:sz w:val="28"/>
          <w:szCs w:val="28"/>
        </w:rPr>
        <w:t>настоящему</w:t>
      </w:r>
      <w:r>
        <w:rPr>
          <w:sz w:val="28"/>
          <w:szCs w:val="28"/>
        </w:rPr>
        <w:t>постановлению</w:t>
      </w:r>
      <w:proofErr w:type="spellEnd"/>
      <w:r w:rsidRPr="002C26AD">
        <w:rPr>
          <w:sz w:val="28"/>
          <w:szCs w:val="28"/>
        </w:rPr>
        <w:t>.</w:t>
      </w:r>
    </w:p>
    <w:p w:rsidR="00BD3767" w:rsidRPr="002C26AD" w:rsidRDefault="00BD3767" w:rsidP="00BD376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</w:t>
      </w:r>
      <w:r w:rsidRPr="002C26AD">
        <w:rPr>
          <w:sz w:val="28"/>
          <w:szCs w:val="28"/>
        </w:rPr>
        <w:t xml:space="preserve">астоящее постановление вступает в силу с 1 января 2014. </w:t>
      </w:r>
    </w:p>
    <w:p w:rsidR="00BD3767" w:rsidRPr="002C26AD" w:rsidRDefault="00BD3767" w:rsidP="00BD376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C26AD">
        <w:rPr>
          <w:sz w:val="28"/>
          <w:szCs w:val="28"/>
        </w:rPr>
        <w:t>.</w:t>
      </w:r>
      <w:r w:rsidRPr="002C26AD">
        <w:rPr>
          <w:sz w:val="28"/>
          <w:szCs w:val="28"/>
        </w:rPr>
        <w:tab/>
      </w:r>
      <w:proofErr w:type="gramStart"/>
      <w:r w:rsidRPr="002C26AD">
        <w:rPr>
          <w:sz w:val="28"/>
          <w:szCs w:val="28"/>
        </w:rPr>
        <w:t>Контроль за</w:t>
      </w:r>
      <w:proofErr w:type="gramEnd"/>
      <w:r w:rsidRPr="002C26AD"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финансов.</w:t>
      </w:r>
    </w:p>
    <w:p w:rsidR="00BD3767" w:rsidRDefault="00BD3767" w:rsidP="00BD37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Default="00BD3767" w:rsidP="00BD3767">
      <w:pPr>
        <w:rPr>
          <w:sz w:val="28"/>
          <w:szCs w:val="28"/>
        </w:rPr>
      </w:pPr>
    </w:p>
    <w:p w:rsidR="00BD3767" w:rsidRPr="002C26AD" w:rsidRDefault="00BD3767" w:rsidP="00BD3767">
      <w:pPr>
        <w:rPr>
          <w:sz w:val="28"/>
          <w:szCs w:val="28"/>
        </w:rPr>
      </w:pPr>
      <w:r w:rsidRPr="002C26AD">
        <w:rPr>
          <w:sz w:val="28"/>
          <w:szCs w:val="28"/>
        </w:rPr>
        <w:t xml:space="preserve"> Глава Ковылкинского </w:t>
      </w:r>
    </w:p>
    <w:p w:rsidR="00BD3767" w:rsidRPr="002C26AD" w:rsidRDefault="00BD3767" w:rsidP="00BD3767">
      <w:pPr>
        <w:jc w:val="center"/>
        <w:rPr>
          <w:sz w:val="28"/>
          <w:szCs w:val="28"/>
        </w:rPr>
      </w:pPr>
      <w:r w:rsidRPr="002C26AD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2C26AD" w:rsidRDefault="00BD3767" w:rsidP="00BD3767">
      <w:pPr>
        <w:jc w:val="center"/>
        <w:rPr>
          <w:sz w:val="28"/>
          <w:szCs w:val="28"/>
        </w:rPr>
      </w:pPr>
    </w:p>
    <w:p w:rsidR="00BD3767" w:rsidRPr="00CE281C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Pr="00CE281C" w:rsidRDefault="00BD3767" w:rsidP="00BD3767">
      <w:pPr>
        <w:jc w:val="center"/>
        <w:rPr>
          <w:sz w:val="28"/>
          <w:szCs w:val="28"/>
        </w:rPr>
      </w:pPr>
    </w:p>
    <w:p w:rsidR="00BD3767" w:rsidRPr="008366C5" w:rsidRDefault="00BD3767" w:rsidP="00BD3767">
      <w:pPr>
        <w:jc w:val="center"/>
        <w:rPr>
          <w:sz w:val="28"/>
          <w:szCs w:val="28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                                                                Приложение  к постановлению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                                                             Администрации Ковылкинского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                                         сельского поселения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                                                        от 23.12. 2014 г. № 86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Муниципальная программа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 xml:space="preserve"> Ковылкинского сельского поселения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ПАСПОРТ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муниципальной программы Ковылкинского сельского поселения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5A0246">
        <w:rPr>
          <w:bCs/>
          <w:sz w:val="28"/>
          <w:szCs w:val="28"/>
          <w:lang w:eastAsia="en-US"/>
        </w:rPr>
        <w:t>«Развитие культуры»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3"/>
        <w:gridCol w:w="6388"/>
      </w:tblGrid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Наименование   -             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Муниципальная программа Ковылкинского сельского поселения «Развитие культуры»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Ответственный 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-и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сполнитель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Соисполнители -   Программы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Участники        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программы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Ковылкинское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 xml:space="preserve"> сельское поселение» (МБУК «ЦКО»);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орган местного самоуправления.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rPr>
          <w:trHeight w:val="80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Подпрограммы 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D3767" w:rsidRPr="005A0246" w:rsidTr="00E33AF3">
        <w:trPr>
          <w:trHeight w:val="80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Программно-целевые -    инструменты программы  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D3767" w:rsidRPr="005A0246" w:rsidTr="00E33AF3">
        <w:trPr>
          <w:trHeight w:val="1843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Цели                            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BD3767" w:rsidRPr="005A0246" w:rsidRDefault="00BD3767" w:rsidP="00E33AF3">
            <w:pPr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реализация творческого потенциала населения;</w:t>
            </w:r>
          </w:p>
          <w:p w:rsidR="00BD3767" w:rsidRPr="005A0246" w:rsidRDefault="00BD3767" w:rsidP="00E33AF3">
            <w:pPr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 xml:space="preserve">обеспечение реализации муниципальной </w:t>
            </w:r>
            <w:r w:rsidRPr="005A0246">
              <w:rPr>
                <w:sz w:val="28"/>
                <w:szCs w:val="28"/>
              </w:rPr>
              <w:lastRenderedPageBreak/>
              <w:t>программы.</w:t>
            </w:r>
          </w:p>
        </w:tc>
      </w:tr>
      <w:tr w:rsidR="00BD3767" w:rsidRPr="005A0246" w:rsidTr="00E33AF3">
        <w:trPr>
          <w:trHeight w:val="2126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 xml:space="preserve">Задачи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-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Развитие библиотечного дела, культурно-досуговой деятельности;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улучшение материально-технической базы учреждений культуры;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условий для реализации  муниципальной программы.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Целевые индикаторы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и показатели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программы   -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выданных документов;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муниципальной библиотеки, подключенной к информационно-коммуникационной сети «Интернет» в общем количестве библиотек Тацинского района;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численность участников культурно-досуговых мероприятий (по сравнению с предыдущим годом);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количество культурно-досуговых мероприятий;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доля достигнутых показателей (индикаторов) муниципальной программы;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среднемесячная заработная плата работников  муниципальных учреждений культуры  Ковылкинского сельского поселения</w:t>
            </w: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Этапы и сроки  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-р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еализации  программы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срок реализации программы: 2014 - 2020 годы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(этапы реализации программы не предусмотрены)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rPr>
          <w:trHeight w:val="4394"/>
        </w:trPr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финансирование программных мероприятий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осуществляется за счет средств областного, местного бюджетов  в объемах, предусмотренных программой и утвержденных  бюджетом на очередной финансовый год и на плановый период.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Общий объем финансирования Программы составляет  6 665,9 тыс. рублей, в том числе: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2016 год –   952,4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2017 год –   879,0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2018 год –   900,5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lastRenderedPageBreak/>
              <w:t xml:space="preserve">2019 год –   900,5 тыс. рублей;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2020 год –   900,5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Объем средств областного бюджета составляет –                                               0 тыс. рублей, из них: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2015 год –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2016 год –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2017 год  – 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2018 год  – 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2019 год  –  0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2020 год  –  0 тыс. рублей.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Объем средств местного бюджета составляет – 6 665,90  </w:t>
            </w:r>
            <w:proofErr w:type="spellStart"/>
            <w:r w:rsidRPr="005A0246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A0246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A0246">
              <w:rPr>
                <w:sz w:val="28"/>
                <w:szCs w:val="28"/>
                <w:lang w:eastAsia="en-US"/>
              </w:rPr>
              <w:t>ублей</w:t>
            </w:r>
            <w:proofErr w:type="spellEnd"/>
            <w:r w:rsidRPr="005A0246">
              <w:rPr>
                <w:sz w:val="28"/>
                <w:szCs w:val="28"/>
                <w:lang w:eastAsia="en-US"/>
              </w:rPr>
              <w:t>,  из них: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2014 год –   931,6 тыс. рублей.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2015 год –   1201,4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2016 год –   952,4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2017 год –   879,0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2018 год –   900,5 тыс. рублей;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 xml:space="preserve">2019 год –   900,5 тыс. рублей; 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A0246">
              <w:rPr>
                <w:rFonts w:eastAsia="Calibri"/>
                <w:sz w:val="28"/>
                <w:szCs w:val="28"/>
              </w:rPr>
              <w:t>2020 год –   900,5 тыс. рублей;</w:t>
            </w:r>
          </w:p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c>
          <w:tcPr>
            <w:tcW w:w="3369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программы </w:t>
            </w:r>
          </w:p>
          <w:p w:rsidR="00BD3767" w:rsidRPr="005A0246" w:rsidRDefault="00BD3767" w:rsidP="00E33AF3">
            <w:pPr>
              <w:rPr>
                <w:sz w:val="28"/>
                <w:szCs w:val="28"/>
                <w:lang w:eastAsia="en-US"/>
              </w:rPr>
            </w:pP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2" w:type="dxa"/>
          </w:tcPr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количества посещений библиотеки  (по сравнению с предыдущим годом);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  сохранение количества выданных документов  ежегодно (по сравнению с предыдущим годом);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  сохранение библиотеки, подключенной к информационно-коммуникационной сети «Интернет» до 100%;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сохранение количества культурно-досуговых мероприятий;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численности участников культурно-досуговых мероприятий на 20% к 2020 году;</w:t>
            </w:r>
          </w:p>
          <w:p w:rsidR="00BD3767" w:rsidRPr="005A0246" w:rsidRDefault="00BD3767" w:rsidP="00E33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повышение квалификации специалистов учреждений культуры не реже 1 раза в 5 лет;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увеличение заработной платы работников  муниципальных учреждений культуры  до 100 % средней заработной платы в Ростовской области;</w:t>
            </w:r>
          </w:p>
          <w:p w:rsidR="00BD3767" w:rsidRPr="005A0246" w:rsidRDefault="00BD3767" w:rsidP="00E33A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создание эффективной системы управления реализацией программы, реализация в полном объеме мероприятий программы, достижения ее целей и задач.</w:t>
            </w:r>
          </w:p>
        </w:tc>
      </w:tr>
    </w:tbl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proofErr w:type="spellStart"/>
      <w:r w:rsidRPr="005A0246">
        <w:rPr>
          <w:b/>
          <w:sz w:val="28"/>
          <w:szCs w:val="28"/>
          <w:lang w:eastAsia="en-US"/>
        </w:rPr>
        <w:lastRenderedPageBreak/>
        <w:t>Ковылкинском</w:t>
      </w:r>
      <w:proofErr w:type="spellEnd"/>
      <w:r w:rsidRPr="005A0246">
        <w:rPr>
          <w:b/>
          <w:sz w:val="28"/>
          <w:szCs w:val="28"/>
          <w:lang w:eastAsia="en-US"/>
        </w:rPr>
        <w:t xml:space="preserve"> сельском поселении. </w:t>
      </w:r>
    </w:p>
    <w:p w:rsidR="00BD3767" w:rsidRPr="005A0246" w:rsidRDefault="00BD3767" w:rsidP="00BD376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Основой инфраструктуры культуры Ковылкинского сельского поселения являются муниципальные учреждения, оказывающие услуги в сфере культуры (Таблица 1).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Таблица 1. Инфраструктура культуры Ковылкинского сельского поселения</w:t>
      </w:r>
    </w:p>
    <w:p w:rsidR="00BD3767" w:rsidRPr="005A0246" w:rsidRDefault="00BD3767" w:rsidP="00BD3767">
      <w:pPr>
        <w:rPr>
          <w:sz w:val="28"/>
          <w:szCs w:val="28"/>
          <w:lang w:eastAsia="en-US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4"/>
        <w:gridCol w:w="1894"/>
      </w:tblGrid>
      <w:tr w:rsidR="00BD3767" w:rsidRPr="005A0246" w:rsidTr="00E33AF3">
        <w:tc>
          <w:tcPr>
            <w:tcW w:w="8294" w:type="dxa"/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Подразделения учреждения культуры</w:t>
            </w:r>
          </w:p>
        </w:tc>
        <w:tc>
          <w:tcPr>
            <w:tcW w:w="1894" w:type="dxa"/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767" w:rsidRPr="005A0246" w:rsidTr="00E33AF3">
        <w:trPr>
          <w:trHeight w:val="260"/>
        </w:trPr>
        <w:tc>
          <w:tcPr>
            <w:tcW w:w="8294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894" w:type="dxa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D3767" w:rsidRPr="005A0246" w:rsidTr="00E33AF3">
        <w:tc>
          <w:tcPr>
            <w:tcW w:w="8294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Клубные учреждения</w:t>
            </w:r>
          </w:p>
        </w:tc>
        <w:tc>
          <w:tcPr>
            <w:tcW w:w="1894" w:type="dxa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D3767" w:rsidRPr="005A0246" w:rsidTr="00E33AF3">
        <w:tc>
          <w:tcPr>
            <w:tcW w:w="8294" w:type="dxa"/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94" w:type="dxa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lang w:eastAsia="en-US"/>
              </w:rPr>
            </w:pPr>
            <w:r w:rsidRPr="005A0246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BD3767" w:rsidRPr="005A0246" w:rsidRDefault="00BD3767" w:rsidP="00BD3767">
      <w:pPr>
        <w:spacing w:before="30" w:after="30"/>
        <w:jc w:val="both"/>
        <w:rPr>
          <w:bCs/>
          <w:sz w:val="28"/>
          <w:szCs w:val="28"/>
        </w:rPr>
      </w:pPr>
    </w:p>
    <w:p w:rsidR="00BD3767" w:rsidRPr="005A0246" w:rsidRDefault="00BD3767" w:rsidP="00BD3767">
      <w:pPr>
        <w:spacing w:before="30" w:after="30"/>
        <w:jc w:val="both"/>
        <w:rPr>
          <w:bCs/>
          <w:sz w:val="28"/>
          <w:szCs w:val="28"/>
        </w:rPr>
      </w:pPr>
      <w:r w:rsidRPr="005A0246">
        <w:rPr>
          <w:bCs/>
          <w:sz w:val="28"/>
          <w:szCs w:val="28"/>
        </w:rPr>
        <w:t>Таблица 2.Характеристика работы библиотеки Ковылкинского сельского поселения</w:t>
      </w:r>
    </w:p>
    <w:p w:rsidR="00BD3767" w:rsidRPr="005A0246" w:rsidRDefault="00BD3767" w:rsidP="00BD3767">
      <w:pPr>
        <w:spacing w:before="30" w:after="30"/>
        <w:jc w:val="both"/>
        <w:rPr>
          <w:sz w:val="28"/>
          <w:szCs w:val="28"/>
        </w:rPr>
      </w:pPr>
      <w:r w:rsidRPr="005A0246">
        <w:rPr>
          <w:bCs/>
          <w:sz w:val="28"/>
          <w:szCs w:val="28"/>
        </w:rPr>
        <w:t xml:space="preserve">в </w:t>
      </w:r>
      <w:bookmarkStart w:id="0" w:name="_ftnref102"/>
      <w:bookmarkEnd w:id="0"/>
      <w:r w:rsidRPr="005A0246">
        <w:rPr>
          <w:bCs/>
          <w:sz w:val="28"/>
          <w:szCs w:val="28"/>
        </w:rPr>
        <w:t>2010– 2012году.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4"/>
        <w:gridCol w:w="1417"/>
        <w:gridCol w:w="1418"/>
        <w:gridCol w:w="1275"/>
      </w:tblGrid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2010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bCs/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2011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bCs/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2012 год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Число библиотек, единиц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1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Численность зарегистрированных пользователей в  библиотеке (на конец года), чел.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705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703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705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  <w:highlight w:val="yellow"/>
              </w:rPr>
            </w:pPr>
            <w:r w:rsidRPr="005A0246">
              <w:rPr>
                <w:sz w:val="28"/>
                <w:szCs w:val="28"/>
              </w:rPr>
              <w:t>Книжный фонд библиотеки (на конец года),  экземпляров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9200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9200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9200</w:t>
            </w:r>
          </w:p>
        </w:tc>
      </w:tr>
    </w:tbl>
    <w:p w:rsidR="00BD3767" w:rsidRPr="005A0246" w:rsidRDefault="00BD3767" w:rsidP="00BD3767">
      <w:pPr>
        <w:spacing w:before="30" w:after="30"/>
        <w:jc w:val="both"/>
        <w:rPr>
          <w:sz w:val="28"/>
          <w:szCs w:val="28"/>
        </w:rPr>
      </w:pPr>
    </w:p>
    <w:p w:rsidR="00BD3767" w:rsidRPr="005A0246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Библиотека выполняет важнейшие социальные и коммуникативные функции, является одним из базовых элементов культурной, образовательной и информационной инфраструктуры страны.</w:t>
      </w:r>
    </w:p>
    <w:p w:rsidR="00BD3767" w:rsidRPr="005A0246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Подключение в 2011 году высокоскоростного </w:t>
      </w:r>
      <w:proofErr w:type="spellStart"/>
      <w:r w:rsidRPr="005A0246">
        <w:rPr>
          <w:sz w:val="28"/>
          <w:szCs w:val="28"/>
          <w:lang w:eastAsia="en-US"/>
        </w:rPr>
        <w:t>безлимитного</w:t>
      </w:r>
      <w:proofErr w:type="spellEnd"/>
      <w:r w:rsidRPr="005A0246">
        <w:rPr>
          <w:sz w:val="28"/>
          <w:szCs w:val="28"/>
          <w:lang w:eastAsia="en-US"/>
        </w:rPr>
        <w:t xml:space="preserve"> Интернета позволило  библиотеке в полном объёме выполнять запросы читателей </w:t>
      </w:r>
      <w:proofErr w:type="gramStart"/>
      <w:r w:rsidRPr="005A0246">
        <w:rPr>
          <w:sz w:val="28"/>
          <w:szCs w:val="28"/>
          <w:lang w:eastAsia="en-US"/>
        </w:rPr>
        <w:t xml:space="preserve">( </w:t>
      </w:r>
      <w:proofErr w:type="gramEnd"/>
      <w:r w:rsidRPr="005A0246">
        <w:rPr>
          <w:sz w:val="28"/>
          <w:szCs w:val="28"/>
          <w:lang w:eastAsia="en-US"/>
        </w:rPr>
        <w:t>электронные справки).</w:t>
      </w:r>
    </w:p>
    <w:p w:rsidR="00BD3767" w:rsidRPr="005A0246" w:rsidRDefault="00BD3767" w:rsidP="00BD3767">
      <w:pPr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Таблица 3. Характеристика деятельности культурно-досуговых учреждений в 2010-2012 году.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4"/>
        <w:gridCol w:w="1417"/>
        <w:gridCol w:w="1418"/>
        <w:gridCol w:w="1275"/>
      </w:tblGrid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2010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bCs/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2011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3767" w:rsidRPr="005A0246" w:rsidRDefault="00BD3767" w:rsidP="00E33AF3">
            <w:pPr>
              <w:jc w:val="center"/>
              <w:rPr>
                <w:bCs/>
                <w:sz w:val="28"/>
                <w:szCs w:val="28"/>
              </w:rPr>
            </w:pPr>
            <w:r w:rsidRPr="005A0246">
              <w:rPr>
                <w:bCs/>
                <w:sz w:val="28"/>
                <w:szCs w:val="28"/>
              </w:rPr>
              <w:t>2012 год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 xml:space="preserve">Число культурно-досуговых учреждений, в </w:t>
            </w:r>
            <w:proofErr w:type="spellStart"/>
            <w:r w:rsidRPr="005A0246">
              <w:rPr>
                <w:sz w:val="28"/>
                <w:szCs w:val="28"/>
              </w:rPr>
              <w:t>т.ч</w:t>
            </w:r>
            <w:proofErr w:type="spellEnd"/>
            <w:r w:rsidRPr="005A0246">
              <w:rPr>
                <w:sz w:val="28"/>
                <w:szCs w:val="28"/>
              </w:rPr>
              <w:t xml:space="preserve">. </w:t>
            </w:r>
            <w:r w:rsidRPr="005A0246">
              <w:rPr>
                <w:sz w:val="28"/>
                <w:szCs w:val="28"/>
              </w:rPr>
              <w:lastRenderedPageBreak/>
              <w:t>ПКУ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2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lastRenderedPageBreak/>
              <w:t>Количество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100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Количество посетителей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12090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12090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12180</w:t>
            </w:r>
          </w:p>
        </w:tc>
      </w:tr>
      <w:tr w:rsidR="00BD3767" w:rsidRPr="005A0246" w:rsidTr="00E33AF3">
        <w:tc>
          <w:tcPr>
            <w:tcW w:w="61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both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3767" w:rsidRPr="005A0246" w:rsidRDefault="00BD3767" w:rsidP="00E33AF3">
            <w:pPr>
              <w:jc w:val="center"/>
              <w:rPr>
                <w:sz w:val="28"/>
                <w:szCs w:val="28"/>
              </w:rPr>
            </w:pPr>
            <w:r w:rsidRPr="005A0246">
              <w:rPr>
                <w:sz w:val="28"/>
                <w:szCs w:val="28"/>
              </w:rPr>
              <w:t>10</w:t>
            </w:r>
          </w:p>
        </w:tc>
      </w:tr>
    </w:tbl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Одним из наиболее действенных сре</w:t>
      </w:r>
      <w:proofErr w:type="gramStart"/>
      <w:r w:rsidRPr="005A0246">
        <w:rPr>
          <w:sz w:val="28"/>
          <w:szCs w:val="28"/>
          <w:lang w:eastAsia="en-US"/>
        </w:rPr>
        <w:t>дств пр</w:t>
      </w:r>
      <w:proofErr w:type="gramEnd"/>
      <w:r w:rsidRPr="005A0246">
        <w:rPr>
          <w:sz w:val="28"/>
          <w:szCs w:val="28"/>
          <w:lang w:eastAsia="en-US"/>
        </w:rPr>
        <w:t>иобщения населения к культурным ценностям и обеспечения равного доступа к культурным ценностям является</w:t>
      </w:r>
      <w:r w:rsidRPr="005A0246">
        <w:rPr>
          <w:color w:val="FF0000"/>
          <w:sz w:val="28"/>
          <w:szCs w:val="28"/>
          <w:lang w:eastAsia="en-US"/>
        </w:rPr>
        <w:t xml:space="preserve"> </w:t>
      </w:r>
      <w:r w:rsidRPr="005A0246">
        <w:rPr>
          <w:sz w:val="28"/>
          <w:szCs w:val="28"/>
          <w:lang w:eastAsia="en-US"/>
        </w:rPr>
        <w:t>проведение массовых праздников и мероприятий. Всего в 2012 году в поселении проведено  более 300 мероприятий.</w:t>
      </w:r>
    </w:p>
    <w:p w:rsidR="00BD3767" w:rsidRPr="005A0246" w:rsidRDefault="00BD3767" w:rsidP="00BD3767">
      <w:pPr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Укрепление материально-технической базы</w:t>
      </w: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Главной проблемой в культурно-досуговой деятельности является  аварийное состояние зданий клубных учреждений и отсутствие средств на  их капитальный ремонт и содержание. Современное состояние учреждений культуры характеризуется высокой степенью изношенности зданий, сооружений, оборудования, инженерных коммуникаций. 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Исходя из приоритетных направлений развития сферы культуры, определенных Стратегией социально-экономического развития Ковылкинского сельского поселения на период до 2020 года, в рамках реализации муниципальной программы Ковылкинского сельского поселения «Развитие культуры» (далее – Программа) планируется выполнение мероприятий с учетом повышения эффективности деятельности учреждений культуры, библиотечного дела, поддержки муниципальных учреждений культуры.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2. Анализ рисков реализации Программы и описание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мер управления рисками реализации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5A0246">
        <w:rPr>
          <w:sz w:val="28"/>
          <w:szCs w:val="28"/>
          <w:lang w:eastAsia="en-US"/>
        </w:rPr>
        <w:t>Важное значение</w:t>
      </w:r>
      <w:proofErr w:type="gramEnd"/>
      <w:r w:rsidRPr="005A0246">
        <w:rPr>
          <w:sz w:val="28"/>
          <w:szCs w:val="28"/>
          <w:lang w:eastAsia="en-US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В рамках реализации Программы могут быть выделены следующие риски ее реализации.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Правовые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</w:t>
      </w:r>
      <w:r w:rsidRPr="005A0246">
        <w:rPr>
          <w:sz w:val="28"/>
          <w:szCs w:val="28"/>
          <w:lang w:eastAsia="en-US"/>
        </w:rPr>
        <w:lastRenderedPageBreak/>
        <w:t>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Для минимизации воздействия данной группы рисков в рамках реализации Программы планируется: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проводить мониторинг планируемых изменений в федеральном, областном законодательствах в сфере культуры и смежных областях.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Финансовые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Финансовые риски связаны с возникновением бюджетного дефицита, вследствие этого, уровнем бюджетного финансирования,  что может повлечь недофинансирование, сокращение или прекращение программных мероприятий.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ежегодное уточнение объемов финансовых средств, предусмотренных на реализацию мероприятий  программы, в зависимости от достигнутых результатов;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Макроэкономические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5A0246">
        <w:rPr>
          <w:sz w:val="28"/>
          <w:szCs w:val="28"/>
          <w:lang w:eastAsia="en-US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 культуры, необоснованный рост стоимости услуг в сферах культуры, а также существенно снизить объем платных услуг.</w:t>
      </w:r>
      <w:proofErr w:type="gramEnd"/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Снижение данных рисков предусматривается мероприятиями, направленными на повышение инвестиционной привлекательности учреждений и экономическому стимулированию.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Административные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культуры, нарушение планируемых сроков реализации Программы, невыполнение ее цели и задач, </w:t>
      </w:r>
      <w:proofErr w:type="spellStart"/>
      <w:r w:rsidRPr="005A0246">
        <w:rPr>
          <w:sz w:val="28"/>
          <w:szCs w:val="28"/>
          <w:lang w:eastAsia="en-US"/>
        </w:rPr>
        <w:t>недостижение</w:t>
      </w:r>
      <w:proofErr w:type="spellEnd"/>
      <w:r w:rsidRPr="005A0246">
        <w:rPr>
          <w:sz w:val="28"/>
          <w:szCs w:val="28"/>
          <w:lang w:eastAsia="en-US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формирование эффективной системы управления реализацией Программы;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проведение систематического мониторинга  реализации Программы;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регулярная публикация отчетов о ходе реализации Программы;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повышение </w:t>
      </w:r>
      <w:proofErr w:type="gramStart"/>
      <w:r w:rsidRPr="005A0246">
        <w:rPr>
          <w:sz w:val="28"/>
          <w:szCs w:val="28"/>
          <w:lang w:eastAsia="en-US"/>
        </w:rPr>
        <w:t>эффективности взаимодействия участников реализации Программы</w:t>
      </w:r>
      <w:proofErr w:type="gramEnd"/>
      <w:r w:rsidRPr="005A0246">
        <w:rPr>
          <w:sz w:val="28"/>
          <w:szCs w:val="28"/>
          <w:lang w:eastAsia="en-US"/>
        </w:rPr>
        <w:t>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своевременная корректировка мероприятий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Кадровые риски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культуры, предприятий  и качество предоставляемых услуг.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Риски угрозы национальной безопасности в сфере культуры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Данные риски связаны с засильем потребительского рынка продукцией массовой культуры, а также противоправными посягательствами на объекты культуры. Негативное воздействие на состояние национальной безопасности в сфере культуры усиливают попытки пересмотра взглядов на историю России, ее роль и место в мировой истории, а также пропаганда образа жизни, в основе которого - вседозволенность и насилие, расовая, национальная и религиозная нетерпимость.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Противодействие угрозам национальной безопасности в сфере культуры </w:t>
      </w:r>
      <w:proofErr w:type="gramStart"/>
      <w:r w:rsidRPr="005A0246">
        <w:rPr>
          <w:sz w:val="28"/>
          <w:szCs w:val="28"/>
          <w:lang w:eastAsia="en-US"/>
        </w:rPr>
        <w:t>будет</w:t>
      </w:r>
      <w:proofErr w:type="gramEnd"/>
      <w:r w:rsidRPr="005A0246">
        <w:rPr>
          <w:sz w:val="28"/>
          <w:szCs w:val="28"/>
          <w:lang w:eastAsia="en-US"/>
        </w:rPr>
        <w:t xml:space="preserve"> осуществляется за счет обеспечения эффективности государственно-правового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3. Основные меры  регулирования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Меры налогового, тарифного, кредитного государственного регулирования в рамках реализации  программы не предусмотрены. Предоставление налоговых льгот и финансовых гарантий по ранее взятым и перспективным </w:t>
      </w:r>
      <w:r w:rsidRPr="005A0246">
        <w:rPr>
          <w:sz w:val="28"/>
          <w:szCs w:val="28"/>
          <w:lang w:eastAsia="en-US"/>
        </w:rPr>
        <w:lastRenderedPageBreak/>
        <w:t>кредитам для организаций всех форм собственности, участвующих в реализации Программы, также не предусмотрено.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Цели муниципальной программы Ковылкинского сельского поселения  «Развитие культуры» соответствуют приоритетным направлениям развития поселения.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Цели Программы: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сохранение культурного и исторического наследия</w:t>
      </w:r>
      <w:proofErr w:type="gramStart"/>
      <w:r w:rsidRPr="005A0246">
        <w:rPr>
          <w:sz w:val="28"/>
          <w:szCs w:val="28"/>
          <w:lang w:eastAsia="en-US"/>
        </w:rPr>
        <w:t xml:space="preserve"> ;</w:t>
      </w:r>
      <w:proofErr w:type="gramEnd"/>
      <w:r w:rsidRPr="005A0246">
        <w:rPr>
          <w:sz w:val="28"/>
          <w:szCs w:val="28"/>
          <w:lang w:eastAsia="en-US"/>
        </w:rPr>
        <w:t xml:space="preserve"> обеспечение доступа граждан к культурным ценностям и участию в культурной жизни; реализация творческого потенциала населения 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обеспечение реализации Программы.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</w:rPr>
        <w:t>Достижение целей обеспечивается за счет решения следующих задач:</w:t>
      </w:r>
    </w:p>
    <w:p w:rsidR="00BD3767" w:rsidRPr="005A0246" w:rsidRDefault="00BD3767" w:rsidP="00BD3767">
      <w:pPr>
        <w:jc w:val="both"/>
        <w:rPr>
          <w:sz w:val="28"/>
          <w:szCs w:val="28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развитие  библиотечного дела, культурно-досуговой деятельности;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укрепление материально-технической базы учреждений культуры;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создание условий для реализации Программы.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Целевые показатели  (индикаторы) Программы количественно и качественно характеризуют ход ее реализации, решение основных задач и достижение цели Программы, а также: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а) отражают специфику развития  сферы культуры, проблем и основных задач, на решение которых направлена реализация  Программы;</w:t>
      </w:r>
    </w:p>
    <w:p w:rsidR="00BD3767" w:rsidRPr="005A0246" w:rsidRDefault="00BD3767" w:rsidP="00BD376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б) имеют количественное и качественное значения;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в) непосредственно зависят от решения основных задач и реализации  Программы. 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Подробные значения целевых показателей по годам реализации Программы представлены в  приложении № 1 к Программе.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 приложении № 6 к Программе.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5A0246">
        <w:rPr>
          <w:sz w:val="28"/>
          <w:szCs w:val="28"/>
          <w:lang w:eastAsia="en-US"/>
        </w:rPr>
        <w:t>Сведения о методике расчета показателей Программы представлены в  приложении № 7 к Программе.</w:t>
      </w: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Реализация Программы имеет важное социально-экономическое значение</w:t>
      </w:r>
      <w:proofErr w:type="gramStart"/>
      <w:r w:rsidRPr="005A0246">
        <w:rPr>
          <w:sz w:val="28"/>
          <w:szCs w:val="28"/>
          <w:lang w:eastAsia="en-US"/>
        </w:rPr>
        <w:t xml:space="preserve"> ,</w:t>
      </w:r>
      <w:proofErr w:type="gramEnd"/>
      <w:r w:rsidRPr="005A0246">
        <w:rPr>
          <w:sz w:val="28"/>
          <w:szCs w:val="28"/>
          <w:lang w:eastAsia="en-US"/>
        </w:rPr>
        <w:t xml:space="preserve"> позволит добиться существенных позитивных результатов в сфере  культуры.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Основными ожидаемыми результатами программы являются: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1.Развитие библиотечного дела: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 xml:space="preserve">сохранение количества посещений библиотек ежегодно (по сравнению с предыдущим годом);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сохранение количества выданных документов ежегодно  (по сравнению с предыдущим годом);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сохранение библиотеки, подключенной к информационно-коммуникационной сети «Интернет» до 100%;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2.Развитие культурно-досуговой деятельности: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rFonts w:ascii="Calibri" w:hAnsi="Calibri"/>
          <w:sz w:val="20"/>
          <w:szCs w:val="20"/>
          <w:lang w:eastAsia="en-US"/>
        </w:rPr>
      </w:pPr>
      <w:r w:rsidRPr="005A0246">
        <w:rPr>
          <w:sz w:val="28"/>
          <w:szCs w:val="28"/>
          <w:lang w:eastAsia="en-US"/>
        </w:rPr>
        <w:t>увеличение  количества культурно-досуговых мероприятий;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увеличение численности участников культурно-досуговых мероприятий на 20% к 2020 году;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повышение квалификации специалистов учреждений культуры не реже 1 раза в 5 лет;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color w:val="FF0000"/>
          <w:sz w:val="28"/>
          <w:szCs w:val="28"/>
          <w:lang w:eastAsia="en-US"/>
        </w:rPr>
        <w:t xml:space="preserve">   </w:t>
      </w:r>
      <w:r w:rsidRPr="005A0246">
        <w:rPr>
          <w:sz w:val="28"/>
          <w:szCs w:val="28"/>
          <w:lang w:eastAsia="en-US"/>
        </w:rPr>
        <w:t>3.Развитие материально-технической базы сферы культуры: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обеспечение сохранности зданий учреждений культуры;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обеспечение учреждений культуры музыкальными инструментами,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компьютерной техникой, </w:t>
      </w:r>
      <w:proofErr w:type="spellStart"/>
      <w:r w:rsidRPr="005A0246">
        <w:rPr>
          <w:sz w:val="28"/>
          <w:szCs w:val="28"/>
          <w:lang w:eastAsia="en-US"/>
        </w:rPr>
        <w:t>звуко</w:t>
      </w:r>
      <w:proofErr w:type="spellEnd"/>
      <w:r w:rsidRPr="005A0246">
        <w:rPr>
          <w:sz w:val="28"/>
          <w:szCs w:val="28"/>
          <w:lang w:eastAsia="en-US"/>
        </w:rPr>
        <w:t xml:space="preserve">-светотехническим оборудованием, мебелью.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ab/>
        <w:t xml:space="preserve">      4. Создание условий для реализации Программы: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создание эффективной системы управления реализацией программы, 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реализация в полном объеме мероприятий программы, достижения ее целей</w:t>
      </w:r>
    </w:p>
    <w:p w:rsidR="00BD3767" w:rsidRPr="005A0246" w:rsidRDefault="00BD3767" w:rsidP="00BD3767">
      <w:pPr>
        <w:tabs>
          <w:tab w:val="left" w:pos="459"/>
          <w:tab w:val="left" w:pos="1134"/>
          <w:tab w:val="left" w:pos="438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и задач;</w:t>
      </w:r>
      <w:r w:rsidRPr="005A0246">
        <w:rPr>
          <w:sz w:val="28"/>
          <w:szCs w:val="28"/>
          <w:lang w:eastAsia="en-US"/>
        </w:rPr>
        <w:tab/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        увеличение заработной платы работников  муниципальных учреждений                  культуры  до 100 % средней заработной платы в Ростовской области</w:t>
      </w:r>
    </w:p>
    <w:p w:rsidR="00BD3767" w:rsidRPr="005A0246" w:rsidRDefault="00BD3767" w:rsidP="00BD3767">
      <w:pPr>
        <w:tabs>
          <w:tab w:val="left" w:pos="459"/>
          <w:tab w:val="left" w:pos="1134"/>
        </w:tabs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 и отчета руководителя учреждения культуры.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Характеристика основных мероприятий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4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4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1. Основное мероприятие «Развитие библиотечного дела»: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Для реализации мер, направленных на развитие библиотечного обслуживания </w:t>
      </w:r>
      <w:r w:rsidRPr="005A0246">
        <w:rPr>
          <w:sz w:val="28"/>
          <w:szCs w:val="28"/>
        </w:rPr>
        <w:t>населения Ковылкинского сельского поселения, о</w:t>
      </w:r>
      <w:r w:rsidRPr="005A0246">
        <w:rPr>
          <w:sz w:val="28"/>
          <w:szCs w:val="28"/>
          <w:lang w:eastAsia="en-US"/>
        </w:rPr>
        <w:t xml:space="preserve">беспечение равного доступа населения  к информационным ресурсам, библиотечным услугам, обеспечение комплектования и сохранности фонда  библиотеки запланированы следующие мероприятия: </w:t>
      </w:r>
    </w:p>
    <w:p w:rsidR="00BD3767" w:rsidRPr="005A0246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комплектование книжных фондов библиотек  за счет средств  местного бюджета;</w:t>
      </w:r>
    </w:p>
    <w:p w:rsidR="00BD3767" w:rsidRPr="005A0246" w:rsidRDefault="00BD3767" w:rsidP="00BD3767">
      <w:pPr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финансовое обеспечение выполнения библиотекой муниципального задания (приложение  № 3 к Программе);</w:t>
      </w:r>
    </w:p>
    <w:p w:rsidR="00BD3767" w:rsidRPr="005A0246" w:rsidRDefault="00BD3767" w:rsidP="00BD3767">
      <w:pPr>
        <w:jc w:val="center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 xml:space="preserve">                 2.Укрепление материально-технической базы учреждений культуры: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Для реализации мер, направленных на укрепление материально-технической базы учреждений культуры, запланированы следующие мероприятия: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проведение капитального ремонта здания;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компьютерной техники;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мебели;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светового оборудования;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информационных стендов;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сценических костюмов;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приобретение штор и сценического задника;</w:t>
      </w:r>
    </w:p>
    <w:p w:rsidR="00BD3767" w:rsidRPr="005A0246" w:rsidRDefault="00BD3767" w:rsidP="00BD3767">
      <w:pPr>
        <w:jc w:val="both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      3.Создание условий для реализации Программы:</w:t>
      </w: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Меры по  созданию условий для реализации Программы направлены </w:t>
      </w:r>
      <w:proofErr w:type="gramStart"/>
      <w:r w:rsidRPr="005A0246">
        <w:rPr>
          <w:sz w:val="28"/>
          <w:szCs w:val="28"/>
          <w:lang w:eastAsia="en-US"/>
        </w:rPr>
        <w:t>на</w:t>
      </w:r>
      <w:proofErr w:type="gramEnd"/>
    </w:p>
    <w:p w:rsidR="00BD3767" w:rsidRPr="005A0246" w:rsidRDefault="00BD3767" w:rsidP="00BD3767">
      <w:pPr>
        <w:jc w:val="both"/>
        <w:rPr>
          <w:rFonts w:ascii="Calibri" w:hAnsi="Calibri"/>
          <w:sz w:val="20"/>
          <w:szCs w:val="20"/>
          <w:lang w:eastAsia="en-US"/>
        </w:rPr>
      </w:pPr>
      <w:r w:rsidRPr="005A0246">
        <w:rPr>
          <w:sz w:val="28"/>
          <w:szCs w:val="28"/>
          <w:lang w:eastAsia="en-US"/>
        </w:rPr>
        <w:t>формирование и развитие обеспечивающих механизмов реализации программы.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Достижение поставленной цели будет обеспечено посредством решения задачи по обеспечению эффективной деятельности  муниципального бюджетного учреждения культуры «Центра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Программы.</w:t>
      </w:r>
    </w:p>
    <w:p w:rsidR="00BD3767" w:rsidRPr="005A0246" w:rsidRDefault="00BD3767" w:rsidP="00BD3767">
      <w:pPr>
        <w:contextualSpacing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Показателем  служит доля достигнутых показателей  к общему количеству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показателей Программы. Данный показатель рассчитывается в процентах, как отношение достигнутых показателей программы к планируемым показателям, указанным в приложении № 7 к  Программе. 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Основными ожидаемыми результатами реализации мероприятия является создание эффективной системы управления реализацией Программы, реализация в полном объеме мероприятий программы, достижения ее целей и задач, а также увеличение заработной платы работников  муниципальных учреждений культуры  до 100 % средней заработной платы в Ростовской области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3</w:t>
      </w:r>
      <w:bookmarkStart w:id="1" w:name="sub_1087"/>
      <w:r w:rsidRPr="005A0246">
        <w:rPr>
          <w:b/>
          <w:sz w:val="28"/>
          <w:szCs w:val="28"/>
          <w:lang w:eastAsia="en-US"/>
        </w:rPr>
        <w:t>.Обоснование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ab/>
        <w:t>Подпрограммы  в муниципальной программе «Развитие культуры» отсутствуют.</w:t>
      </w:r>
    </w:p>
    <w:bookmarkEnd w:id="1"/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4.   Информация по ресурсному обеспечению муниципальной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 xml:space="preserve">Общий объем финансирования Программы составляет  13259,00 </w:t>
      </w:r>
      <w:proofErr w:type="spellStart"/>
      <w:r w:rsidRPr="005A0246">
        <w:rPr>
          <w:sz w:val="28"/>
          <w:szCs w:val="28"/>
          <w:lang w:eastAsia="en-US"/>
        </w:rPr>
        <w:t>тыс</w:t>
      </w:r>
      <w:proofErr w:type="gramStart"/>
      <w:r w:rsidRPr="005A0246">
        <w:rPr>
          <w:sz w:val="28"/>
          <w:szCs w:val="28"/>
          <w:lang w:eastAsia="en-US"/>
        </w:rPr>
        <w:t>.р</w:t>
      </w:r>
      <w:proofErr w:type="gramEnd"/>
      <w:r w:rsidRPr="005A0246">
        <w:rPr>
          <w:sz w:val="28"/>
          <w:szCs w:val="28"/>
          <w:lang w:eastAsia="en-US"/>
        </w:rPr>
        <w:t>ублей</w:t>
      </w:r>
      <w:proofErr w:type="spellEnd"/>
      <w:r w:rsidRPr="005A0246">
        <w:rPr>
          <w:sz w:val="28"/>
          <w:szCs w:val="28"/>
          <w:lang w:eastAsia="en-US"/>
        </w:rPr>
        <w:t>, из них: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средства областного бюджета –0,00       </w:t>
      </w:r>
      <w:proofErr w:type="spellStart"/>
      <w:r w:rsidRPr="005A0246">
        <w:rPr>
          <w:sz w:val="28"/>
          <w:szCs w:val="28"/>
          <w:lang w:eastAsia="en-US"/>
        </w:rPr>
        <w:t>тыс</w:t>
      </w:r>
      <w:proofErr w:type="gramStart"/>
      <w:r w:rsidRPr="005A0246">
        <w:rPr>
          <w:sz w:val="28"/>
          <w:szCs w:val="28"/>
          <w:lang w:eastAsia="en-US"/>
        </w:rPr>
        <w:t>.р</w:t>
      </w:r>
      <w:proofErr w:type="gramEnd"/>
      <w:r w:rsidRPr="005A0246">
        <w:rPr>
          <w:sz w:val="28"/>
          <w:szCs w:val="28"/>
          <w:lang w:eastAsia="en-US"/>
        </w:rPr>
        <w:t>ублей</w:t>
      </w:r>
      <w:proofErr w:type="spellEnd"/>
    </w:p>
    <w:p w:rsidR="00BD3767" w:rsidRPr="005A0246" w:rsidRDefault="00BD3767" w:rsidP="00BD376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средства местных бюджетов – 13259,00 </w:t>
      </w:r>
      <w:proofErr w:type="spellStart"/>
      <w:r w:rsidRPr="005A0246">
        <w:rPr>
          <w:sz w:val="28"/>
          <w:szCs w:val="28"/>
          <w:lang w:eastAsia="en-US"/>
        </w:rPr>
        <w:t>тыс</w:t>
      </w:r>
      <w:proofErr w:type="gramStart"/>
      <w:r w:rsidRPr="005A0246">
        <w:rPr>
          <w:sz w:val="28"/>
          <w:szCs w:val="28"/>
          <w:lang w:eastAsia="en-US"/>
        </w:rPr>
        <w:t>.р</w:t>
      </w:r>
      <w:proofErr w:type="gramEnd"/>
      <w:r w:rsidRPr="005A0246">
        <w:rPr>
          <w:sz w:val="28"/>
          <w:szCs w:val="28"/>
          <w:lang w:eastAsia="en-US"/>
        </w:rPr>
        <w:t>ублей</w:t>
      </w:r>
      <w:proofErr w:type="spellEnd"/>
      <w:r w:rsidRPr="005A0246">
        <w:rPr>
          <w:sz w:val="28"/>
          <w:szCs w:val="28"/>
          <w:lang w:eastAsia="en-US"/>
        </w:rPr>
        <w:t>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Информация о расходах местного бюджета на реализацию Программы представлена в приложении № 4 к настоящей Программе. 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Информация о расходах областного бюджета, местных бюджетов  на реализацию Программы представлена в  приложении № 5  к настоящей Программе.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Информация о финансовом обеспечении муниципальных заданий учреждений представлена в приложении № 3  к Программе.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Информация о распределении субсидий по направлениям расходования  представлена в приложении № 8 к Программе.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 xml:space="preserve">Раздел 5. Участие органов местного самоуправления Ковылкинского сельского поселения в реализации муниципальной программы. 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BD3767" w:rsidRPr="005A0246" w:rsidRDefault="00BD3767" w:rsidP="00BD3767">
      <w:pPr>
        <w:suppressAutoHyphens/>
        <w:jc w:val="both"/>
        <w:rPr>
          <w:sz w:val="28"/>
          <w:szCs w:val="28"/>
          <w:lang w:eastAsia="zh-CN"/>
        </w:rPr>
      </w:pPr>
      <w:r w:rsidRPr="005A0246">
        <w:rPr>
          <w:sz w:val="28"/>
          <w:szCs w:val="28"/>
          <w:lang w:eastAsia="zh-CN"/>
        </w:rPr>
        <w:t>Программа реализуется ее участниками, в том числе, муниципальным образованием «</w:t>
      </w:r>
      <w:proofErr w:type="spellStart"/>
      <w:r w:rsidRPr="005A0246">
        <w:rPr>
          <w:sz w:val="28"/>
          <w:szCs w:val="28"/>
          <w:lang w:eastAsia="zh-CN"/>
        </w:rPr>
        <w:t>Ковылкинское</w:t>
      </w:r>
      <w:proofErr w:type="spellEnd"/>
      <w:r w:rsidRPr="005A0246">
        <w:rPr>
          <w:sz w:val="28"/>
          <w:szCs w:val="28"/>
          <w:lang w:eastAsia="zh-CN"/>
        </w:rPr>
        <w:t xml:space="preserve"> сельское поселение» и  муниципальным бюджетным учреждением культуры «Центр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zh-CN"/>
        </w:rPr>
        <w:t>Ковылкинское</w:t>
      </w:r>
      <w:proofErr w:type="spellEnd"/>
      <w:r w:rsidRPr="005A0246">
        <w:rPr>
          <w:sz w:val="28"/>
          <w:szCs w:val="28"/>
          <w:lang w:eastAsia="zh-CN"/>
        </w:rPr>
        <w:t xml:space="preserve"> сельское поселение» через участие в мероприятиях поселения, а также в   районных мероприятиях, конкурсах и фестивалях.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i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 xml:space="preserve">Раздел 6.  Методика оценки эффективности муниципальной программы. </w:t>
      </w:r>
    </w:p>
    <w:p w:rsidR="00BD3767" w:rsidRPr="005A0246" w:rsidRDefault="00BD3767" w:rsidP="00BD3767">
      <w:pPr>
        <w:jc w:val="center"/>
        <w:rPr>
          <w:bCs/>
          <w:color w:val="26282F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Оценка эффективности Программы осуществляется по следующим критериям: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BD3767" w:rsidRPr="005A0246" w:rsidRDefault="00BD3767" w:rsidP="00BD3767">
      <w:pPr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5" o:title=""/>
          </v:shape>
          <o:OLEObject Type="Embed" ProgID="Equation.3" ShapeID="_x0000_i1025" DrawAspect="Content" ObjectID="_1499859695" r:id="rId6"/>
        </w:object>
      </w:r>
      <w:r w:rsidRPr="005A0246">
        <w:rPr>
          <w:spacing w:val="-8"/>
          <w:sz w:val="28"/>
          <w:szCs w:val="28"/>
          <w:lang w:eastAsia="en-US"/>
        </w:rPr>
        <w:t xml:space="preserve">, </w:t>
      </w:r>
    </w:p>
    <w:p w:rsidR="00BD3767" w:rsidRPr="005A0246" w:rsidRDefault="00BD3767" w:rsidP="00BD3767">
      <w:pPr>
        <w:jc w:val="both"/>
        <w:rPr>
          <w:i/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5A0246">
        <w:rPr>
          <w:spacing w:val="-8"/>
          <w:sz w:val="28"/>
          <w:szCs w:val="28"/>
          <w:lang w:eastAsia="en-US"/>
        </w:rPr>
        <w:t>КЦИ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степень достижения i-</w:t>
      </w:r>
      <w:proofErr w:type="spellStart"/>
      <w:r w:rsidRPr="005A0246">
        <w:rPr>
          <w:spacing w:val="-8"/>
          <w:sz w:val="28"/>
          <w:szCs w:val="28"/>
          <w:lang w:eastAsia="en-US"/>
        </w:rPr>
        <w:t>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целевого показателя  Программы;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ЦИФ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фактическое значение i-</w:t>
      </w:r>
      <w:proofErr w:type="spellStart"/>
      <w:r w:rsidRPr="005A0246">
        <w:rPr>
          <w:spacing w:val="-8"/>
          <w:sz w:val="28"/>
          <w:szCs w:val="28"/>
          <w:lang w:eastAsia="en-US"/>
        </w:rPr>
        <w:t>гоцелевого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показателя Программы;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ЦИП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плановое значение i-</w:t>
      </w:r>
      <w:proofErr w:type="spellStart"/>
      <w:r w:rsidRPr="005A0246">
        <w:rPr>
          <w:spacing w:val="-8"/>
          <w:sz w:val="28"/>
          <w:szCs w:val="28"/>
          <w:lang w:eastAsia="en-US"/>
        </w:rPr>
        <w:t>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целевого показателя  целевого показателя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5A0246">
        <w:rPr>
          <w:spacing w:val="-8"/>
          <w:sz w:val="28"/>
          <w:szCs w:val="28"/>
          <w:lang w:eastAsia="en-US"/>
        </w:rPr>
        <w:t>КЦИ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2. Критерий «Степень соответствия запланированному уровню затрат», характеризующий соответствие достигнутых результатов реализации мероприятий  Программы затраченным ресурсам и уровень эффективности </w:t>
      </w:r>
      <w:r w:rsidRPr="005A0246">
        <w:rPr>
          <w:spacing w:val="-8"/>
          <w:sz w:val="28"/>
          <w:szCs w:val="28"/>
          <w:lang w:eastAsia="en-US"/>
        </w:rPr>
        <w:lastRenderedPageBreak/>
        <w:t>использования средств областного бюджета. Критерий рассчитывается по формуле</w:t>
      </w:r>
      <w:proofErr w:type="gramStart"/>
      <w:r w:rsidRPr="005A0246">
        <w:rPr>
          <w:spacing w:val="-8"/>
          <w:sz w:val="28"/>
          <w:szCs w:val="28"/>
          <w:lang w:eastAsia="en-US"/>
        </w:rPr>
        <w:t>:</w:t>
      </w:r>
      <w:proofErr w:type="gramEnd"/>
    </w:p>
    <w:p w:rsidR="00BD3767" w:rsidRPr="005A0246" w:rsidRDefault="00BD3767" w:rsidP="00BD3767">
      <w:pPr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jc w:val="center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object w:dxaOrig="1605" w:dyaOrig="780">
          <v:shape id="_x0000_i1026" type="#_x0000_t75" style="width:80.25pt;height:39pt" o:ole="">
            <v:imagedata r:id="rId7" o:title=""/>
          </v:shape>
          <o:OLEObject Type="Embed" ProgID="Equation.3" ShapeID="_x0000_i1026" DrawAspect="Content" ObjectID="_1499859696" r:id="rId8"/>
        </w:object>
      </w:r>
      <w:r w:rsidRPr="005A0246">
        <w:rPr>
          <w:spacing w:val="-8"/>
          <w:sz w:val="28"/>
          <w:szCs w:val="28"/>
          <w:lang w:eastAsia="en-US"/>
        </w:rPr>
        <w:t xml:space="preserve">, </w:t>
      </w:r>
    </w:p>
    <w:p w:rsidR="00BD3767" w:rsidRPr="005A0246" w:rsidRDefault="00BD3767" w:rsidP="00BD3767">
      <w:pPr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5A0246">
        <w:rPr>
          <w:spacing w:val="-8"/>
          <w:sz w:val="28"/>
          <w:szCs w:val="28"/>
          <w:lang w:eastAsia="en-US"/>
        </w:rPr>
        <w:t>КБЗ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степень соответствия бюджетных затрат i-</w:t>
      </w:r>
      <w:proofErr w:type="spellStart"/>
      <w:r w:rsidRPr="005A0246">
        <w:rPr>
          <w:spacing w:val="-8"/>
          <w:sz w:val="28"/>
          <w:szCs w:val="28"/>
          <w:lang w:eastAsia="en-US"/>
        </w:rPr>
        <w:t>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мероприятия Программы;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БЗФ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фактическое значение бюджетных затрат i-</w:t>
      </w:r>
      <w:proofErr w:type="spellStart"/>
      <w:r w:rsidRPr="005A0246">
        <w:rPr>
          <w:spacing w:val="-8"/>
          <w:sz w:val="28"/>
          <w:szCs w:val="28"/>
          <w:lang w:eastAsia="en-US"/>
        </w:rPr>
        <w:t>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мероприятия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proofErr w:type="spellStart"/>
      <w:r w:rsidRPr="005A0246">
        <w:rPr>
          <w:spacing w:val="-8"/>
          <w:sz w:val="28"/>
          <w:szCs w:val="28"/>
          <w:lang w:eastAsia="en-US"/>
        </w:rPr>
        <w:t>БЗП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</w:t>
      </w:r>
      <w:proofErr w:type="spellStart"/>
      <w:r w:rsidRPr="005A0246">
        <w:rPr>
          <w:spacing w:val="-8"/>
          <w:sz w:val="28"/>
          <w:szCs w:val="28"/>
          <w:lang w:eastAsia="en-US"/>
        </w:rPr>
        <w:t>го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мероприятия 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5A0246">
        <w:rPr>
          <w:spacing w:val="-8"/>
          <w:sz w:val="28"/>
          <w:szCs w:val="28"/>
          <w:lang w:eastAsia="en-US"/>
        </w:rPr>
        <w:t>КБЗ</w:t>
      </w:r>
      <w:proofErr w:type="gramStart"/>
      <w:r w:rsidRPr="005A0246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5A0246">
        <w:rPr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5A0246">
        <w:rPr>
          <w:spacing w:val="-8"/>
          <w:sz w:val="28"/>
          <w:szCs w:val="28"/>
          <w:lang w:eastAsia="en-US"/>
        </w:rPr>
        <w:t>ожидаемому</w:t>
      </w:r>
      <w:proofErr w:type="gramEnd"/>
      <w:r w:rsidRPr="005A0246">
        <w:rPr>
          <w:spacing w:val="-8"/>
          <w:sz w:val="28"/>
          <w:szCs w:val="28"/>
          <w:lang w:eastAsia="en-US"/>
        </w:rPr>
        <w:t>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соотношение планового и фактического объема финансирования мероприятий  Программы.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Бюджетная эффективность реализации Программы обеспечивается за счет: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</w:t>
      </w:r>
      <w:proofErr w:type="spellStart"/>
      <w:r w:rsidRPr="005A0246">
        <w:rPr>
          <w:spacing w:val="-8"/>
          <w:sz w:val="28"/>
          <w:szCs w:val="28"/>
          <w:lang w:eastAsia="en-US"/>
        </w:rPr>
        <w:t>средств</w:t>
      </w:r>
      <w:proofErr w:type="gramStart"/>
      <w:r w:rsidRPr="005A0246">
        <w:rPr>
          <w:spacing w:val="-8"/>
          <w:sz w:val="28"/>
          <w:szCs w:val="28"/>
          <w:lang w:eastAsia="en-US"/>
        </w:rPr>
        <w:t>.О</w:t>
      </w:r>
      <w:proofErr w:type="gramEnd"/>
      <w:r w:rsidRPr="005A0246">
        <w:rPr>
          <w:spacing w:val="-8"/>
          <w:sz w:val="28"/>
          <w:szCs w:val="28"/>
          <w:lang w:eastAsia="en-US"/>
        </w:rPr>
        <w:t>ценка</w:t>
      </w:r>
      <w:proofErr w:type="spellEnd"/>
      <w:r w:rsidRPr="005A0246">
        <w:rPr>
          <w:spacing w:val="-8"/>
          <w:sz w:val="28"/>
          <w:szCs w:val="28"/>
          <w:lang w:eastAsia="en-US"/>
        </w:rPr>
        <w:t xml:space="preserve">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Подробные значения целевых показателей представлены в таблице 2 приложения к Программе.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  <w:r w:rsidRPr="005A0246">
        <w:rPr>
          <w:spacing w:val="-8"/>
          <w:sz w:val="28"/>
          <w:szCs w:val="28"/>
          <w:lang w:eastAsia="en-US"/>
        </w:rPr>
        <w:t>Реализация Программы к 2020 году позволит  создать условия, обеспечивающие равный и свободный доступ населения ко всему спектру культурных ценностей.</w:t>
      </w:r>
    </w:p>
    <w:p w:rsidR="00BD3767" w:rsidRPr="005A0246" w:rsidRDefault="00BD3767" w:rsidP="00BD3767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en-US"/>
        </w:rPr>
      </w:pPr>
      <w:r w:rsidRPr="005A0246">
        <w:rPr>
          <w:b/>
          <w:sz w:val="28"/>
          <w:szCs w:val="28"/>
          <w:lang w:eastAsia="en-US"/>
        </w:rPr>
        <w:t>Раздел 7. Порядок взаимодействия ответственных исполнителей, соисполнителей, участников муниципальной  программы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eastAsia="en-US"/>
        </w:rPr>
      </w:pP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Ответственным исполнителем муниципальной программы является муниципальное бюджетное учреждение культуры «Центр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 (МБУК «ЦКО»).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lastRenderedPageBreak/>
        <w:t>Соисполнители Программы отсутствуют.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Участники государственной программы:</w:t>
      </w:r>
    </w:p>
    <w:p w:rsidR="00BD3767" w:rsidRPr="005A0246" w:rsidRDefault="00BD3767" w:rsidP="00BD3767">
      <w:pPr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муниципальное бюджетное учреждение культуры «Центр культурного обслуживания»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(МБУК «ЦКО»);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Библиотека Ковылкинского сельского поселения;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Орган местного самоуправления муниципального образования «</w:t>
      </w:r>
      <w:proofErr w:type="spellStart"/>
      <w:r w:rsidRPr="005A0246">
        <w:rPr>
          <w:sz w:val="28"/>
          <w:szCs w:val="28"/>
          <w:lang w:eastAsia="en-US"/>
        </w:rPr>
        <w:t>Ковылкинское</w:t>
      </w:r>
      <w:proofErr w:type="spellEnd"/>
      <w:r w:rsidRPr="005A0246">
        <w:rPr>
          <w:sz w:val="28"/>
          <w:szCs w:val="28"/>
          <w:lang w:eastAsia="en-US"/>
        </w:rPr>
        <w:t xml:space="preserve"> сельское поселение».</w:t>
      </w:r>
    </w:p>
    <w:p w:rsidR="00BD3767" w:rsidRPr="005A0246" w:rsidRDefault="00BD3767" w:rsidP="00BD37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D3767" w:rsidRPr="005A0246" w:rsidRDefault="00BD3767" w:rsidP="00BD3767">
      <w:pPr>
        <w:widowControl w:val="0"/>
        <w:spacing w:line="226" w:lineRule="auto"/>
        <w:jc w:val="both"/>
        <w:rPr>
          <w:sz w:val="28"/>
          <w:szCs w:val="28"/>
          <w:lang w:eastAsia="en-US"/>
        </w:rPr>
      </w:pPr>
      <w:bookmarkStart w:id="2" w:name="sub_1047"/>
      <w:r w:rsidRPr="005A0246">
        <w:rPr>
          <w:sz w:val="28"/>
          <w:szCs w:val="28"/>
          <w:lang w:eastAsia="en-US"/>
        </w:rPr>
        <w:t xml:space="preserve">            Ответственный исполнитель муниципальной программы:</w:t>
      </w:r>
    </w:p>
    <w:bookmarkEnd w:id="2"/>
    <w:p w:rsidR="00BD3767" w:rsidRPr="005A0246" w:rsidRDefault="00BD3767" w:rsidP="00BD3767">
      <w:pPr>
        <w:widowControl w:val="0"/>
        <w:spacing w:line="226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-обеспечивает разработку  муниципальной программы и внесение в установленном порядке проекта постановления Администрации Ковылкинского сельского поселения об утверждении  программы в  </w:t>
      </w:r>
      <w:proofErr w:type="spellStart"/>
      <w:r w:rsidRPr="005A0246">
        <w:rPr>
          <w:sz w:val="28"/>
          <w:szCs w:val="28"/>
          <w:lang w:eastAsia="en-US"/>
        </w:rPr>
        <w:t>Ковылкинском</w:t>
      </w:r>
      <w:proofErr w:type="spellEnd"/>
      <w:r w:rsidRPr="005A0246">
        <w:rPr>
          <w:sz w:val="28"/>
          <w:szCs w:val="28"/>
          <w:lang w:eastAsia="en-US"/>
        </w:rPr>
        <w:t xml:space="preserve"> сельском поселении;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-формирует в соответствии с методическими рекомендациями структуру  муниципальной программы, а также перечень соисполнителей и участников  муниципальной программы;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bookmarkStart w:id="3" w:name="sub_10473"/>
      <w:r w:rsidRPr="005A0246">
        <w:rPr>
          <w:sz w:val="28"/>
          <w:szCs w:val="28"/>
          <w:lang w:eastAsia="en-US"/>
        </w:rPr>
        <w:t>-организует реализацию муниципальной  программы, вносит предложения главе поселения  об изменениях в муниципальную  программу и несет ответственность за достижение целевых показателей программы, а также конечных результатов ее реализации;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-представляет по запросу  финансового отдела администрации поселения сведения (с учетом информации, представленной участниками муниципальной программы) о реализации муниципальной  программы;</w:t>
      </w:r>
    </w:p>
    <w:bookmarkEnd w:id="3"/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>-подготавливает отчеты об исполнении плана реализации (с учетом информации, представленной  участниками муниципальной  программы) и вносит их на рассмотрение Администрации Ковылкинского сельского поселения;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bookmarkStart w:id="4" w:name="sub_10478"/>
      <w:r w:rsidRPr="005A0246">
        <w:rPr>
          <w:sz w:val="28"/>
          <w:szCs w:val="28"/>
          <w:lang w:eastAsia="en-US"/>
        </w:rPr>
        <w:t>-подготавливает отчет о реализации муниципальной программы по итогам года, согласовывает и вносит на рассмотрение администрации поселения проект постановления об утверждении отчета.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</w:p>
    <w:bookmarkEnd w:id="4"/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r w:rsidRPr="005A0246">
        <w:rPr>
          <w:sz w:val="28"/>
          <w:szCs w:val="28"/>
          <w:lang w:eastAsia="en-US"/>
        </w:rPr>
        <w:t xml:space="preserve">                     Участники муниципальной  программы:</w:t>
      </w:r>
    </w:p>
    <w:p w:rsidR="00BD3767" w:rsidRPr="005A0246" w:rsidRDefault="00BD3767" w:rsidP="00BD3767">
      <w:pPr>
        <w:widowControl w:val="0"/>
        <w:spacing w:line="230" w:lineRule="auto"/>
        <w:jc w:val="both"/>
        <w:rPr>
          <w:sz w:val="28"/>
          <w:szCs w:val="28"/>
          <w:lang w:eastAsia="en-US"/>
        </w:rPr>
      </w:pPr>
      <w:bookmarkStart w:id="5" w:name="sub_10491"/>
      <w:r w:rsidRPr="005A0246">
        <w:rPr>
          <w:sz w:val="28"/>
          <w:szCs w:val="28"/>
          <w:lang w:eastAsia="en-US"/>
        </w:rPr>
        <w:t>-осуществляет реализацию  мероприятий  программы в рамках своей компетенции;</w:t>
      </w:r>
    </w:p>
    <w:p w:rsidR="00BD3767" w:rsidRPr="005A0246" w:rsidRDefault="00BD3767" w:rsidP="00BD3767">
      <w:pPr>
        <w:widowControl w:val="0"/>
        <w:jc w:val="both"/>
        <w:rPr>
          <w:sz w:val="28"/>
          <w:szCs w:val="28"/>
          <w:lang w:eastAsia="en-US"/>
        </w:rPr>
      </w:pPr>
      <w:bookmarkStart w:id="6" w:name="sub_10492"/>
      <w:bookmarkEnd w:id="5"/>
      <w:r w:rsidRPr="005A0246">
        <w:rPr>
          <w:sz w:val="28"/>
          <w:szCs w:val="28"/>
          <w:lang w:eastAsia="en-US"/>
        </w:rPr>
        <w:t>-представляет ответственному исполнителю предложения при разработке муниципальной программы, входящие в состав  муниципальной  программы, в реализации которых предполагается его участие;</w:t>
      </w:r>
    </w:p>
    <w:p w:rsidR="00BD3767" w:rsidRPr="005A0246" w:rsidRDefault="00BD3767" w:rsidP="00BD3767">
      <w:pPr>
        <w:widowControl w:val="0"/>
        <w:jc w:val="both"/>
        <w:rPr>
          <w:sz w:val="28"/>
          <w:szCs w:val="28"/>
          <w:lang w:eastAsia="en-US"/>
        </w:rPr>
      </w:pPr>
      <w:bookmarkStart w:id="7" w:name="sub_10493"/>
      <w:bookmarkEnd w:id="6"/>
      <w:r w:rsidRPr="005A0246">
        <w:rPr>
          <w:spacing w:val="-6"/>
          <w:sz w:val="28"/>
          <w:szCs w:val="28"/>
          <w:lang w:eastAsia="en-US"/>
        </w:rPr>
        <w:t xml:space="preserve">-представляет ответственному исполнителю  информацию, </w:t>
      </w:r>
      <w:r w:rsidRPr="005A0246">
        <w:rPr>
          <w:sz w:val="28"/>
          <w:szCs w:val="28"/>
          <w:lang w:eastAsia="en-US"/>
        </w:rPr>
        <w:t>необходимую для подготовки ответов на запросы  финансового отдела администрации поселения;</w:t>
      </w:r>
    </w:p>
    <w:p w:rsidR="00BD3767" w:rsidRPr="005A0246" w:rsidRDefault="00BD3767" w:rsidP="00BD3767">
      <w:pPr>
        <w:widowControl w:val="0"/>
        <w:jc w:val="both"/>
        <w:rPr>
          <w:sz w:val="28"/>
          <w:szCs w:val="28"/>
          <w:lang w:eastAsia="en-US"/>
        </w:rPr>
      </w:pPr>
      <w:bookmarkStart w:id="8" w:name="sub_10494"/>
      <w:bookmarkEnd w:id="7"/>
      <w:r w:rsidRPr="005A0246">
        <w:rPr>
          <w:spacing w:val="-6"/>
          <w:sz w:val="28"/>
          <w:szCs w:val="28"/>
          <w:lang w:eastAsia="en-US"/>
        </w:rPr>
        <w:t>-представляет ответственному исполнителю  информацию,</w:t>
      </w:r>
      <w:r w:rsidRPr="005A0246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года.</w:t>
      </w:r>
      <w:bookmarkEnd w:id="8"/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BD3767" w:rsidRDefault="00BD3767" w:rsidP="00BD3767">
      <w:pPr>
        <w:jc w:val="center"/>
        <w:rPr>
          <w:sz w:val="28"/>
          <w:szCs w:val="28"/>
        </w:rPr>
      </w:pPr>
    </w:p>
    <w:p w:rsidR="00EC3787" w:rsidRDefault="00EC3787">
      <w:bookmarkStart w:id="9" w:name="_GoBack"/>
      <w:bookmarkEnd w:id="9"/>
    </w:p>
    <w:sectPr w:rsidR="00EC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5A"/>
    <w:rsid w:val="00BD3767"/>
    <w:rsid w:val="00EA1A5A"/>
    <w:rsid w:val="00E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3894</Words>
  <Characters>22196</Characters>
  <Application>Microsoft Office Word</Application>
  <DocSecurity>0</DocSecurity>
  <Lines>184</Lines>
  <Paragraphs>52</Paragraphs>
  <ScaleCrop>false</ScaleCrop>
  <Company/>
  <LinksUpToDate>false</LinksUpToDate>
  <CharactersWithSpaces>26038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2015-07-31T11:55:00Z</dcterms:created>
  <dcterms:modified xsi:type="dcterms:W3CDTF">2015-07-31T11:55:00Z</dcterms:modified>
</cp:coreProperties>
</file>