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BE" w:rsidRPr="002802D6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E16CC0" w:rsidRPr="00E16CC0">
        <w:rPr>
          <w:sz w:val="28"/>
          <w:szCs w:val="28"/>
        </w:rPr>
        <w:t>4</w:t>
      </w:r>
      <w:r w:rsidRPr="00E16CC0">
        <w:rPr>
          <w:sz w:val="28"/>
          <w:szCs w:val="28"/>
        </w:rPr>
        <w:t xml:space="preserve"> </w:t>
      </w:r>
      <w:r w:rsidRPr="002802D6">
        <w:rPr>
          <w:sz w:val="28"/>
          <w:szCs w:val="28"/>
        </w:rPr>
        <w:t>к</w:t>
      </w:r>
      <w:r w:rsidR="001961B6">
        <w:rPr>
          <w:sz w:val="28"/>
          <w:szCs w:val="28"/>
          <w:lang w:val="en-US"/>
        </w:rPr>
        <w:t xml:space="preserve"> </w:t>
      </w:r>
      <w:r w:rsidRPr="002802D6">
        <w:rPr>
          <w:sz w:val="28"/>
          <w:szCs w:val="28"/>
        </w:rPr>
        <w:t>постановлени</w:t>
      </w:r>
      <w:r w:rsidR="00414AD7">
        <w:rPr>
          <w:sz w:val="28"/>
          <w:szCs w:val="28"/>
        </w:rPr>
        <w:t>ю</w:t>
      </w:r>
    </w:p>
    <w:p w:rsidR="002F26BE" w:rsidRPr="002802D6" w:rsidRDefault="002F26BE" w:rsidP="002F26BE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414AD7">
        <w:rPr>
          <w:sz w:val="28"/>
          <w:szCs w:val="28"/>
        </w:rPr>
        <w:t xml:space="preserve"> 58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414AD7">
        <w:rPr>
          <w:sz w:val="28"/>
          <w:szCs w:val="28"/>
        </w:rPr>
        <w:t>12.07.2016г.</w:t>
      </w:r>
    </w:p>
    <w:p w:rsidR="002F26BE" w:rsidRDefault="002F26BE" w:rsidP="002F26BE">
      <w:pPr>
        <w:jc w:val="right"/>
        <w:rPr>
          <w:sz w:val="28"/>
          <w:szCs w:val="28"/>
        </w:rPr>
      </w:pPr>
    </w:p>
    <w:p w:rsidR="002F26BE" w:rsidRPr="005A63A3" w:rsidRDefault="002F26BE" w:rsidP="002F26B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F26BE" w:rsidRDefault="002F26BE" w:rsidP="002F26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2F26BE" w:rsidRPr="002802D6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2F26BE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 xml:space="preserve">Защита населения и территории от </w:t>
      </w:r>
      <w:proofErr w:type="spellStart"/>
      <w:r>
        <w:rPr>
          <w:sz w:val="28"/>
          <w:szCs w:val="28"/>
        </w:rPr>
        <w:t>черезвычайных</w:t>
      </w:r>
      <w:proofErr w:type="spellEnd"/>
      <w:r>
        <w:rPr>
          <w:sz w:val="28"/>
          <w:szCs w:val="28"/>
        </w:rPr>
        <w:t xml:space="preserve"> ситуаций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обеспечение пожарной безопасности на водных объектах</w:t>
      </w:r>
      <w:r w:rsidRPr="006B3799">
        <w:rPr>
          <w:sz w:val="28"/>
          <w:szCs w:val="28"/>
        </w:rPr>
        <w:t>»</w:t>
      </w:r>
    </w:p>
    <w:p w:rsidR="002F26BE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802D6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04295" w:rsidRDefault="002F26BE" w:rsidP="0041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</w:t>
      </w:r>
      <w:r w:rsidR="001961B6">
        <w:rPr>
          <w:bCs/>
          <w:sz w:val="28"/>
          <w:szCs w:val="28"/>
        </w:rPr>
        <w:t>6</w:t>
      </w:r>
      <w:r w:rsidRPr="00204295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были предусмотрены </w:t>
      </w:r>
      <w:r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2F26BE" w:rsidRPr="00204295" w:rsidRDefault="002F26BE" w:rsidP="002F26BE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2F26BE" w:rsidRPr="00CD3D52" w:rsidRDefault="002F26BE" w:rsidP="002F26BE">
      <w:pPr>
        <w:autoSpaceDE w:val="0"/>
        <w:autoSpaceDN w:val="0"/>
        <w:adjustRightInd w:val="0"/>
        <w:ind w:firstLine="708"/>
        <w:rPr>
          <w:bCs/>
        </w:rPr>
      </w:pPr>
    </w:p>
    <w:p w:rsidR="002F26BE" w:rsidRPr="002F26BE" w:rsidRDefault="002F26BE" w:rsidP="00414AD7">
      <w:pPr>
        <w:jc w:val="both"/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r w:rsidRPr="00CD3D52">
        <w:rPr>
          <w:sz w:val="28"/>
          <w:szCs w:val="28"/>
        </w:rPr>
        <w:t>согласно приложений:</w:t>
      </w:r>
    </w:p>
    <w:p w:rsidR="002F26BE" w:rsidRPr="00CD3D52" w:rsidRDefault="002F26BE" w:rsidP="00414AD7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2F26BE" w:rsidRPr="00CD3D52" w:rsidRDefault="002F26BE" w:rsidP="00414AD7">
      <w:pPr>
        <w:jc w:val="both"/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отчетный период 1 полугодие  201</w:t>
      </w:r>
      <w:r w:rsidR="001961B6">
        <w:rPr>
          <w:sz w:val="28"/>
          <w:szCs w:val="28"/>
        </w:rPr>
        <w:t>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2F26BE" w:rsidRPr="00CD3D52" w:rsidRDefault="002F26BE" w:rsidP="00414AD7">
      <w:pPr>
        <w:widowControl w:val="0"/>
        <w:autoSpaceDE w:val="0"/>
        <w:autoSpaceDN w:val="0"/>
        <w:adjustRightInd w:val="0"/>
        <w:ind w:left="360"/>
        <w:jc w:val="both"/>
      </w:pPr>
    </w:p>
    <w:p w:rsidR="002F26BE" w:rsidRPr="00CD3D52" w:rsidRDefault="002F26BE" w:rsidP="00414AD7">
      <w:pPr>
        <w:widowControl w:val="0"/>
        <w:autoSpaceDE w:val="0"/>
        <w:autoSpaceDN w:val="0"/>
        <w:adjustRightInd w:val="0"/>
        <w:ind w:left="360"/>
        <w:jc w:val="both"/>
      </w:pPr>
      <w:r w:rsidRPr="00CD3D52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2F26BE" w:rsidRPr="00CD3D52" w:rsidRDefault="002F26BE" w:rsidP="00414A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26BE" w:rsidRPr="00CD3D52" w:rsidRDefault="002F26BE" w:rsidP="00414A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26BE" w:rsidRPr="00CD3D52" w:rsidRDefault="002F26BE" w:rsidP="00414AD7">
      <w:pPr>
        <w:jc w:val="both"/>
        <w:rPr>
          <w:sz w:val="28"/>
          <w:szCs w:val="28"/>
        </w:rPr>
      </w:pPr>
      <w:r w:rsidRPr="00CD3D52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CD3D52">
        <w:rPr>
          <w:kern w:val="2"/>
          <w:sz w:val="28"/>
          <w:szCs w:val="28"/>
        </w:rPr>
        <w:t xml:space="preserve"> 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kern w:val="2"/>
          <w:sz w:val="28"/>
          <w:szCs w:val="28"/>
        </w:rPr>
        <w:t xml:space="preserve"> </w:t>
      </w:r>
      <w:r w:rsidRPr="00CD3D52">
        <w:rPr>
          <w:sz w:val="28"/>
          <w:szCs w:val="28"/>
        </w:rPr>
        <w:t>за  1 полугодие 201</w:t>
      </w:r>
      <w:r w:rsidR="001961B6">
        <w:rPr>
          <w:sz w:val="28"/>
          <w:szCs w:val="28"/>
        </w:rPr>
        <w:t>6</w:t>
      </w:r>
      <w:r w:rsidRPr="00CD3D52">
        <w:rPr>
          <w:sz w:val="28"/>
          <w:szCs w:val="28"/>
        </w:rPr>
        <w:t xml:space="preserve"> года </w:t>
      </w:r>
    </w:p>
    <w:p w:rsidR="002F26BE" w:rsidRPr="00CD3D52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  <w:sectPr w:rsidR="002F26BE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6BE" w:rsidRPr="00CD3D52" w:rsidRDefault="002F26BE" w:rsidP="00CD3D52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F94D19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>
        <w:rPr>
          <w:rFonts w:ascii="Times New Roman CYR" w:hAnsi="Times New Roman CYR"/>
          <w:kern w:val="2"/>
        </w:rPr>
        <w:t>»</w:t>
      </w:r>
    </w:p>
    <w:p w:rsidR="002F26BE" w:rsidRDefault="002F26BE" w:rsidP="002F26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период  1 полугодие 201</w:t>
      </w:r>
      <w:r w:rsidR="001961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F26BE" w:rsidRDefault="002F26BE" w:rsidP="002F26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1078"/>
        <w:gridCol w:w="36"/>
        <w:gridCol w:w="837"/>
      </w:tblGrid>
      <w:tr w:rsidR="002F26BE" w:rsidTr="00F94D19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F26BE" w:rsidTr="00F94D19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8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</w:tr>
      <w:tr w:rsidR="002F26BE" w:rsidTr="00F94D19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F26BE" w:rsidTr="002F26BE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26BE" w:rsidTr="006F6FF5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2F26BE" w:rsidRDefault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черезвычайных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ситуаций природного и техногенного характера. 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улучшение состояния территории поселения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1961B6">
              <w:rPr>
                <w:rFonts w:ascii="Times New Roman" w:hAnsi="Times New Roman"/>
                <w:b/>
                <w:sz w:val="24"/>
                <w:szCs w:val="24"/>
              </w:rPr>
              <w:t>01.01.2016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31.12.2016</w:t>
            </w:r>
            <w:r w:rsidR="002F26B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  <w:r w:rsidR="002F26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</w:p>
        </w:tc>
      </w:tr>
      <w:tr w:rsidR="002F26BE" w:rsidTr="006F6FF5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2F26BE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2F26B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CC2C14" w:rsidRPr="00DA0FC2" w:rsidRDefault="00CC2C14" w:rsidP="00CC2C14">
      <w:pPr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F94D19">
        <w:rPr>
          <w:b/>
          <w:i/>
        </w:rPr>
        <w:t xml:space="preserve">Ковылкинского сельского поселения </w:t>
      </w:r>
      <w:r w:rsidRPr="00CC2C14">
        <w:rPr>
          <w:b/>
          <w:i/>
        </w:rPr>
        <w:t>«</w:t>
      </w:r>
      <w:r w:rsidRPr="00F94D19">
        <w:rPr>
          <w:b/>
          <w:i/>
        </w:rPr>
        <w:t xml:space="preserve">Защита населения и территории от </w:t>
      </w:r>
      <w:proofErr w:type="spellStart"/>
      <w:r w:rsidRPr="00F94D19">
        <w:rPr>
          <w:b/>
          <w:i/>
        </w:rPr>
        <w:t>черезвычайных</w:t>
      </w:r>
      <w:proofErr w:type="spellEnd"/>
      <w:r w:rsidRPr="00F94D19">
        <w:rPr>
          <w:b/>
          <w:i/>
        </w:rPr>
        <w:t xml:space="preserve"> ситуаций</w:t>
      </w:r>
      <w:proofErr w:type="gramStart"/>
      <w:r w:rsidRPr="00F94D19">
        <w:rPr>
          <w:b/>
          <w:i/>
        </w:rPr>
        <w:t xml:space="preserve"> ,</w:t>
      </w:r>
      <w:proofErr w:type="gramEnd"/>
      <w:r w:rsidRPr="00F94D19">
        <w:rPr>
          <w:b/>
          <w:i/>
        </w:rPr>
        <w:t xml:space="preserve"> обеспечение пожарной безопасности на водных объектах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1961B6">
        <w:rPr>
          <w:b/>
          <w:i/>
        </w:rPr>
        <w:t>16</w:t>
      </w:r>
      <w:r w:rsidRPr="00DA0FC2">
        <w:rPr>
          <w:b/>
          <w:i/>
        </w:rPr>
        <w:t xml:space="preserve"> г.</w:t>
      </w:r>
    </w:p>
    <w:p w:rsidR="00CC2C14" w:rsidRPr="00772639" w:rsidRDefault="00CC2C14" w:rsidP="00CC2C14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CC2C14" w:rsidRPr="001E323F" w:rsidTr="004B1D4A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CC2C14" w:rsidRPr="001E323F" w:rsidTr="004B1D4A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2C14" w:rsidRPr="001E323F" w:rsidTr="004B1D4A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CB0920" w:rsidRDefault="00CC2C14" w:rsidP="0015567C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proofErr w:type="spell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>черезвычайных</w:t>
            </w:r>
            <w:proofErr w:type="spell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</w:t>
            </w:r>
            <w:proofErr w:type="gram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пожарной безопасности на водных объектах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87,4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51,2</w:t>
            </w:r>
          </w:p>
        </w:tc>
      </w:tr>
      <w:tr w:rsidR="00CC2C14" w:rsidRPr="001E323F" w:rsidTr="004B1D4A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87,4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51,2</w:t>
            </w:r>
            <w:bookmarkStart w:id="0" w:name="_GoBack"/>
            <w:bookmarkEnd w:id="0"/>
          </w:p>
        </w:tc>
      </w:tr>
      <w:tr w:rsidR="00CC2C14" w:rsidRPr="001E323F" w:rsidTr="004B1D4A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2F26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F26BE"/>
    <w:rsid w:val="001961B6"/>
    <w:rsid w:val="002F26BE"/>
    <w:rsid w:val="003A5AAB"/>
    <w:rsid w:val="00414AD7"/>
    <w:rsid w:val="004B1D4A"/>
    <w:rsid w:val="005B5F46"/>
    <w:rsid w:val="005B6C36"/>
    <w:rsid w:val="005F1146"/>
    <w:rsid w:val="006F6FF5"/>
    <w:rsid w:val="00750479"/>
    <w:rsid w:val="007D1629"/>
    <w:rsid w:val="00843C63"/>
    <w:rsid w:val="00BC5A49"/>
    <w:rsid w:val="00CC2C14"/>
    <w:rsid w:val="00CD3D52"/>
    <w:rsid w:val="00E16CC0"/>
    <w:rsid w:val="00E67B12"/>
    <w:rsid w:val="00EA1C7F"/>
    <w:rsid w:val="00F9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26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ConsPlusCell">
    <w:name w:val="ConsPlusCell Знак"/>
    <w:link w:val="ConsPlusCell0"/>
    <w:locked/>
    <w:rsid w:val="002F26BE"/>
    <w:rPr>
      <w:rFonts w:ascii="Calibri" w:hAnsi="Calibri"/>
    </w:rPr>
  </w:style>
  <w:style w:type="paragraph" w:customStyle="1" w:styleId="ConsPlusCell0">
    <w:name w:val="ConsPlusCell"/>
    <w:link w:val="ConsPlusCell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2F26BE"/>
    <w:rPr>
      <w:color w:val="0000FF"/>
      <w:u w:val="single"/>
    </w:rPr>
  </w:style>
  <w:style w:type="paragraph" w:styleId="a4">
    <w:name w:val="footer"/>
    <w:basedOn w:val="a"/>
    <w:link w:val="a5"/>
    <w:rsid w:val="00CC2C1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C2C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9</cp:revision>
  <dcterms:created xsi:type="dcterms:W3CDTF">2015-08-17T08:55:00Z</dcterms:created>
  <dcterms:modified xsi:type="dcterms:W3CDTF">2016-07-12T11:20:00Z</dcterms:modified>
</cp:coreProperties>
</file>