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2810" cy="103505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040" cy="1034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.2pt;height:81.4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Пятница</w:t>
      </w:r>
      <w:r>
        <w:rPr>
          <w:b/>
          <w:sz w:val="28"/>
          <w:szCs w:val="28"/>
          <w:lang w:val="ru-RU" w:eastAsia="ar-SA"/>
        </w:rPr>
        <w:t xml:space="preserve">, </w:t>
      </w:r>
      <w:r>
        <w:rPr>
          <w:b/>
          <w:sz w:val="28"/>
          <w:szCs w:val="28"/>
          <w:lang w:val="ru-RU" w:eastAsia="ar-SA"/>
        </w:rPr>
        <w:t>15</w:t>
      </w:r>
      <w:r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октября</w:t>
      </w:r>
      <w:r>
        <w:rPr>
          <w:b/>
          <w:sz w:val="28"/>
          <w:szCs w:val="28"/>
          <w:lang w:val="ru-RU" w:eastAsia="ar-SA"/>
        </w:rPr>
        <w:t xml:space="preserve"> 2021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204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 постановления Администрации Ковылкинского  сельского поселения от 22.03.2017г. №21. Документы, публикуемые в «Ковылкинском вестнике» соответствуют оригиналам и имеют юридическую силу                                                                         </w:t>
      </w:r>
    </w:p>
    <w:p>
      <w:pPr>
        <w:pStyle w:val="Normal"/>
        <w:suppressAutoHyphens w:val="true"/>
        <w:jc w:val="both"/>
        <w:rPr/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-1905</wp:posOffset>
                </wp:positionH>
                <wp:positionV relativeFrom="paragraph">
                  <wp:posOffset>86995</wp:posOffset>
                </wp:positionV>
                <wp:extent cx="6049010" cy="12065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60" cy="900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6.55pt" to="476pt,7.2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/>
          <w:b/>
          <w:bCs/>
          <w:sz w:val="20"/>
          <w:szCs w:val="20"/>
          <w:lang w:val="ru-RU" w:eastAsia="ar-SA"/>
        </w:rPr>
        <w:t xml:space="preserve">                                                                        </w:t>
      </w:r>
      <w:r>
        <w:rPr>
          <w:rFonts w:cs="Times New Roman"/>
          <w:b/>
          <w:bCs/>
          <w:sz w:val="21"/>
          <w:szCs w:val="21"/>
          <w:lang w:val="ru-RU" w:eastAsia="ar-SA"/>
        </w:rPr>
        <w:t xml:space="preserve">     </w:t>
      </w:r>
    </w:p>
    <w:p>
      <w:pPr>
        <w:pStyle w:val="Normal"/>
        <w:suppressAutoHyphens w:val="true"/>
        <w:jc w:val="both"/>
        <w:rPr/>
      </w:pPr>
      <w:r>
        <w:rPr>
          <w:rFonts w:cs="Times New Roman"/>
          <w:b/>
          <w:bCs/>
          <w:sz w:val="21"/>
          <w:szCs w:val="21"/>
          <w:lang w:val="ru-RU" w:eastAsia="ar-SA"/>
        </w:rPr>
        <w:t xml:space="preserve">       </w:t>
      </w:r>
      <w:r>
        <w:rPr>
          <w:rFonts w:cs="Times New Roman"/>
          <w:b/>
          <w:bCs/>
          <w:sz w:val="28"/>
          <w:szCs w:val="28"/>
          <w:lang w:val="ru-RU" w:eastAsia="ar-SA"/>
        </w:rPr>
        <w:t xml:space="preserve">       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/>
        </w:rPr>
        <w:t xml:space="preserve">                                    </w:t>
      </w:r>
      <w:r>
        <w:rPr>
          <w:rFonts w:cs="Times New Roman"/>
          <w:b/>
          <w:bCs/>
          <w:sz w:val="28"/>
          <w:szCs w:val="28"/>
          <w:lang w:val="ru-RU" w:eastAsia="ar-SA"/>
        </w:rPr>
        <w:t>Уважаемые граждане!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вступлением в силу Федерального закона от 30.12.2020 № 518-ФЗ «О внесении изменений в отдельные законодательные акты Российской Федерации» администрация Ковылкинского сельского поселения информирует о проведении работ по выявлению правообладателей ранее учтенных объектов недвижимости (права на которые возникли до 31 января 1998 года) и обеспечению внесения в Единый государственный реестр недвижимости (далее - ЕГРН) сведений о них.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Работы проводятся в отношении следующих объектов недвижимости: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hanging="360"/>
        <w:rPr/>
      </w:pPr>
      <w:hyperlink r:id="rId2">
        <w:r>
          <w:rPr>
            <w:rStyle w:val="Style13"/>
            <w:rFonts w:eastAsia="Calibri" w:ascii="Times New Roman" w:hAnsi="Times New Roman" w:eastAsiaTheme="minorHAnsi"/>
            <w:color w:val="00000A"/>
            <w:sz w:val="28"/>
            <w:szCs w:val="28"/>
            <w:u w:val="none"/>
            <w:lang w:eastAsia="en-US"/>
          </w:rPr>
          <w:t xml:space="preserve"> </w:t>
        </w:r>
        <w:r>
          <w:rPr>
            <w:rStyle w:val="Style13"/>
            <w:rFonts w:eastAsia="Calibri" w:ascii="Times New Roman" w:hAnsi="Times New Roman" w:eastAsiaTheme="minorHAnsi"/>
            <w:color w:val="00000A"/>
            <w:sz w:val="28"/>
            <w:szCs w:val="28"/>
            <w:u w:val="none"/>
            <w:lang w:eastAsia="en-US"/>
          </w:rPr>
          <w:t>земельных участков</w:t>
        </w:r>
      </w:hyperlink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ind w:left="0" w:hanging="360"/>
        <w:rPr/>
      </w:pPr>
      <w:hyperlink r:id="rId3">
        <w:r>
          <w:rPr>
            <w:rStyle w:val="Style13"/>
            <w:rFonts w:eastAsia="Calibri" w:ascii="Times New Roman" w:hAnsi="Times New Roman" w:eastAsiaTheme="minorHAnsi"/>
            <w:color w:val="00000A"/>
            <w:sz w:val="28"/>
            <w:szCs w:val="28"/>
            <w:u w:val="none"/>
            <w:lang w:eastAsia="en-US"/>
          </w:rPr>
          <w:t>объектов капитального строительства (зданий, строений, сооружений);</w:t>
        </w:r>
      </w:hyperlink>
    </w:p>
    <w:p>
      <w:pPr>
        <w:pStyle w:val="NormalWeb"/>
        <w:numPr>
          <w:ilvl w:val="0"/>
          <w:numId w:val="4"/>
        </w:numPr>
        <w:spacing w:beforeAutospacing="0" w:before="0" w:afterAutospacing="0" w:after="0"/>
        <w:ind w:left="0" w:hanging="360"/>
        <w:rPr/>
      </w:pPr>
      <w:hyperlink r:id="rId4">
        <w:r>
          <w:rPr>
            <w:rStyle w:val="Style13"/>
            <w:rFonts w:eastAsia="Calibri" w:ascii="Times New Roman" w:hAnsi="Times New Roman" w:eastAsiaTheme="minorHAnsi"/>
            <w:color w:val="00000A"/>
            <w:sz w:val="28"/>
            <w:szCs w:val="28"/>
            <w:u w:val="none"/>
            <w:lang w:eastAsia="en-US"/>
          </w:rPr>
          <w:t>помещений</w:t>
        </w:r>
      </w:hyperlink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;</w:t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объектов недвижимости, </w:t>
      </w:r>
      <w:r>
        <w:rPr>
          <w:rFonts w:ascii="Times New Roman" w:hAnsi="Times New Roman"/>
          <w:sz w:val="28"/>
          <w:szCs w:val="28"/>
        </w:rPr>
        <w:t>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>Перечни указанных объектов недвижимости размещены на сайте администрации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Ковылкинского сельского поселения  в разделе  НОВОСТИ </w:t>
      </w:r>
      <w:r>
        <w:rPr>
          <w:rFonts w:ascii="Times New Roman" w:hAnsi="Times New Roman"/>
          <w:b/>
          <w:sz w:val="28"/>
          <w:szCs w:val="28"/>
        </w:rPr>
        <w:t>https://kovylkinskoe-sp.ru/</w:t>
      </w:r>
      <w:r>
        <w:rPr>
          <w:rFonts w:ascii="Times New Roman" w:hAnsi="Times New Roman"/>
          <w:b/>
          <w:color w:val="8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Целью данных работ является повышение степени защиты прав собственности граждан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Уважаемые граждане, в случае если права на принадлежащие вам объекты недвижимости не зарегистрированы в ЕГРН, вам следует обратиться в уполномоченный на выявление правообладателей орган местного самоуправления - администрацию Ковылкинского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лично или посредством почтовой связи с уведомлением о вручении с целью предоставления сведений, документов, подтверждающих права на объекты недвижимости, а также сведений о почтовом адресе, адресе электронной почты, документах, удостоверяющих личность, и СНИЛС.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Указанные сведения о правообладателях, документах, подтверждающих права,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рекомендуем вам самостоятельно обратиться за государственной регистрацией ранее возникшего права, поскольку регистрация прав собственности на объекты недвижимости защитит вас от юридических проблем при: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1. Передаче объектов недвижимости по наследству.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2. Совершении сделок с объектами недвижимости.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3. Получении разрешений на строительство на земельных участках зданий и сооружений.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4. Получении кредита под залог объекта недвижимости.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5. Решении межевых споров с соседями.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В этом случае нужно обратиться в ближайший офис МФЦ с паспортом и правоустанавливающим документом, в котором специалисты помогут написать вам соответствующее заявление.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Кроме того, если объект подпадает под действие Федерального закона от 30.06.2006 №93-ФЗ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находящиеся на таких земельных участках объекты капитального строительства) заявление гражданина на проведение государственной регистрации права может быть представлено в </w:t>
      </w:r>
      <w:r>
        <w:rPr>
          <w:rFonts w:eastAsia="Calibri" w:ascii="Times New Roman" w:hAnsi="Times New Roman"/>
          <w:sz w:val="28"/>
          <w:szCs w:val="28"/>
        </w:rPr>
        <w:t>Администрацию Ковылкинского сельского поселения.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Контактные данные: </w:t>
      </w:r>
      <w:r>
        <w:rPr>
          <w:rFonts w:eastAsia="Calibri" w:cs="Times New Roman" w:ascii="Times New Roman" w:hAnsi="Times New Roman"/>
          <w:sz w:val="28"/>
          <w:szCs w:val="28"/>
        </w:rPr>
        <w:t>Администрация Ковылкинского сельского поселения Тацинского района Ростовской области  по адресу: 34707</w:t>
      </w:r>
      <w:r>
        <w:rPr>
          <w:rFonts w:eastAsia="Calibri" w:cs="Times New Roman" w:ascii="Times New Roman" w:hAnsi="Times New Roman"/>
          <w:sz w:val="28"/>
          <w:szCs w:val="28"/>
        </w:rPr>
        <w:t>8</w:t>
      </w:r>
      <w:r>
        <w:rPr>
          <w:rFonts w:eastAsia="Calibri" w:cs="Times New Roman" w:ascii="Times New Roman" w:hAnsi="Times New Roman"/>
          <w:sz w:val="28"/>
          <w:szCs w:val="28"/>
        </w:rPr>
        <w:t xml:space="preserve">, Ростовская область, Тацинский район, х.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Ковылкин</w:t>
      </w:r>
      <w:r>
        <w:rPr>
          <w:rFonts w:eastAsia="Calibri" w:cs="Times New Roman" w:ascii="Times New Roman" w:hAnsi="Times New Roman"/>
          <w:sz w:val="28"/>
          <w:szCs w:val="28"/>
        </w:rPr>
        <w:t xml:space="preserve">, ул.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 xml:space="preserve">Советская, </w:t>
      </w:r>
      <w:r>
        <w:rPr>
          <w:rFonts w:eastAsia="Calibri" w:cs="Times New Roman" w:ascii="Times New Roman" w:hAnsi="Times New Roman"/>
          <w:sz w:val="28"/>
          <w:szCs w:val="28"/>
        </w:rPr>
        <w:t xml:space="preserve">26,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общий отдел</w:t>
      </w:r>
      <w:r>
        <w:rPr>
          <w:rFonts w:eastAsia="Calibri" w:cs="Times New Roman" w:ascii="Times New Roman" w:hAnsi="Times New Roman"/>
          <w:sz w:val="28"/>
          <w:szCs w:val="28"/>
        </w:rPr>
        <w:t xml:space="preserve">, (тел.: 886397 </w:t>
      </w:r>
      <w:r>
        <w:rPr>
          <w:rFonts w:eastAsia="Calibri" w:cs="Times New Roman" w:ascii="Times New Roman" w:hAnsi="Times New Roman"/>
          <w:sz w:val="28"/>
          <w:szCs w:val="28"/>
        </w:rPr>
        <w:t>2-45-45</w:t>
      </w:r>
      <w:r>
        <w:rPr>
          <w:rFonts w:eastAsia="Calibri" w:cs="Times New Roman" w:ascii="Times New Roman" w:hAnsi="Times New Roman"/>
          <w:sz w:val="28"/>
          <w:szCs w:val="28"/>
        </w:rPr>
        <w:t xml:space="preserve">, график работы : понедельник-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пятница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 08:</w:t>
      </w:r>
      <w:r>
        <w:rPr>
          <w:rFonts w:eastAsia="Calibri" w:cs="Times New Roman" w:ascii="Times New Roman" w:hAnsi="Times New Roman"/>
          <w:sz w:val="28"/>
          <w:szCs w:val="28"/>
        </w:rPr>
        <w:t>3</w:t>
      </w:r>
      <w:r>
        <w:rPr>
          <w:rFonts w:eastAsia="Calibri" w:cs="Times New Roman" w:ascii="Times New Roman" w:hAnsi="Times New Roman"/>
          <w:sz w:val="28"/>
          <w:szCs w:val="28"/>
        </w:rPr>
        <w:t>0 до 16:</w:t>
      </w:r>
      <w:r>
        <w:rPr>
          <w:rFonts w:eastAsia="Calibri" w:cs="Times New Roman" w:ascii="Times New Roman" w:hAnsi="Times New Roman"/>
          <w:sz w:val="28"/>
          <w:szCs w:val="28"/>
        </w:rPr>
        <w:t>3</w:t>
      </w:r>
      <w:r>
        <w:rPr>
          <w:rFonts w:eastAsia="Calibri" w:cs="Times New Roman" w:ascii="Times New Roman" w:hAnsi="Times New Roman"/>
          <w:sz w:val="28"/>
          <w:szCs w:val="28"/>
        </w:rPr>
        <w:t>0, перерыв с 12:00 час. 13:00 час.) для предоставления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вышеуказанных мероприятий. Обращения оформляются в письменном виде и направляются в адрес Администрации лично, почтой или на адрес электронной почты sp3839</w:t>
      </w:r>
      <w:r>
        <w:rPr>
          <w:rFonts w:eastAsia="Calibri" w:cs="Times New Roman" w:ascii="Times New Roman" w:hAnsi="Times New Roman"/>
          <w:sz w:val="28"/>
          <w:szCs w:val="28"/>
        </w:rPr>
        <w:t>8</w:t>
      </w:r>
      <w:r>
        <w:rPr>
          <w:rFonts w:eastAsia="Calibri" w:cs="Times New Roman" w:ascii="Times New Roman" w:hAnsi="Times New Roman"/>
          <w:sz w:val="28"/>
          <w:szCs w:val="28"/>
        </w:rPr>
        <w:t xml:space="preserve">@donpac.ru </w:t>
      </w:r>
    </w:p>
    <w:p>
      <w:pPr>
        <w:pStyle w:val="Normal"/>
        <w:jc w:val="both"/>
        <w:rPr>
          <w:rFonts w:cs="Arial"/>
          <w:b/>
          <w:b/>
          <w:sz w:val="24"/>
          <w:szCs w:val="24"/>
          <w:lang w:val="ru-RU" w:eastAsia="ar-SA"/>
        </w:rPr>
      </w:pPr>
      <w:r>
        <w:rPr/>
      </w:r>
    </w:p>
    <w:p>
      <w:pPr>
        <w:pStyle w:val="Normal"/>
        <w:jc w:val="both"/>
        <w:rPr>
          <w:rFonts w:cs="Arial"/>
          <w:b/>
          <w:b/>
          <w:sz w:val="24"/>
          <w:szCs w:val="24"/>
          <w:lang w:val="ru-RU" w:eastAsia="ar-SA"/>
        </w:rPr>
      </w:pPr>
      <w:r>
        <w:rPr/>
      </w:r>
    </w:p>
    <w:p>
      <w:pPr>
        <w:pStyle w:val="Normal"/>
        <w:jc w:val="both"/>
        <w:rPr>
          <w:rFonts w:cs="Arial"/>
          <w:b/>
          <w:b/>
          <w:sz w:val="24"/>
          <w:szCs w:val="24"/>
          <w:lang w:val="ru-RU" w:eastAsia="ar-SA"/>
        </w:rPr>
      </w:pPr>
      <w:r>
        <w:rPr/>
      </w:r>
    </w:p>
    <w:p>
      <w:pPr>
        <w:pStyle w:val="Normal"/>
        <w:jc w:val="both"/>
        <w:rPr/>
      </w:pPr>
      <w:r>
        <w:rPr>
          <w:rFonts w:cs="Arial"/>
          <w:b/>
          <w:sz w:val="24"/>
          <w:szCs w:val="24"/>
          <w:lang w:val="ru-RU" w:eastAsia="ar-SA"/>
        </w:rPr>
        <w:t>Отпечатано в Администрации Ковылкинского сельского поселения. Тираж 10 экз. регистрационный №</w:t>
      </w:r>
      <w:r>
        <w:rPr>
          <w:rFonts w:cs="Arial"/>
          <w:b/>
          <w:sz w:val="24"/>
          <w:szCs w:val="24"/>
          <w:lang w:val="ru-RU" w:eastAsia="ar-SA"/>
        </w:rPr>
        <w:t>204</w:t>
      </w:r>
      <w:r>
        <w:rPr>
          <w:rFonts w:cs="Arial"/>
          <w:b/>
          <w:sz w:val="24"/>
          <w:szCs w:val="24"/>
          <w:lang w:val="ru-RU" w:eastAsia="ar-SA"/>
        </w:rPr>
        <w:t xml:space="preserve"> от </w:t>
      </w:r>
      <w:r>
        <w:rPr>
          <w:rFonts w:cs="Arial"/>
          <w:b/>
          <w:sz w:val="24"/>
          <w:szCs w:val="24"/>
          <w:lang w:val="ru-RU" w:eastAsia="ar-SA"/>
        </w:rPr>
        <w:t>15.10</w:t>
      </w:r>
      <w:r>
        <w:rPr>
          <w:rFonts w:cs="Arial"/>
          <w:b/>
          <w:sz w:val="24"/>
          <w:szCs w:val="24"/>
          <w:lang w:val="ru-RU" w:eastAsia="ar-SA"/>
        </w:rPr>
        <w:t>.2021года</w:t>
      </w:r>
      <w:r>
        <w:rPr>
          <w:bCs/>
          <w:sz w:val="24"/>
          <w:szCs w:val="24"/>
          <w:lang w:val="ru-RU" w:eastAsia="zh-CN"/>
        </w:rPr>
        <w:t xml:space="preserve">                                           </w:t>
      </w:r>
    </w:p>
    <w:sectPr>
      <w:type w:val="nextPage"/>
      <w:pgSz w:w="12240" w:h="15840"/>
      <w:pgMar w:left="1088" w:right="850" w:header="0" w:top="170" w:footer="0" w:bottom="3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2">
    <w:name w:val="ListLabel 12"/>
    <w:qFormat/>
    <w:rPr>
      <w:rFonts w:eastAsia="Courier New"/>
    </w:rPr>
  </w:style>
  <w:style w:type="character" w:styleId="ListLabel13">
    <w:name w:val="ListLabel 13"/>
    <w:qFormat/>
    <w:rPr>
      <w:rFonts w:eastAsia="Wingdings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21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22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23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1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1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11">
    <w:name w:val="Основной текст1"/>
    <w:basedOn w:val="Normal"/>
    <w:qFormat/>
    <w:pPr>
      <w:widowControl w:val="false"/>
      <w:shd w:fill="FFFFFF"/>
      <w:suppressAutoHyphens w:val="true"/>
      <w:bidi w:val="0"/>
      <w:spacing w:lineRule="exact" w:line="322" w:before="0" w:after="0"/>
      <w:jc w:val="center"/>
    </w:pPr>
    <w:rPr>
      <w:rFonts w:ascii="Times New Roman" w:hAnsi="Times New Roman" w:eastAsia="Times New Roman"/>
      <w:color w:val="000000"/>
      <w:sz w:val="27"/>
      <w:lang w:val="ru-RU" w:eastAsia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hi-IN" w:bidi="ar-SA"/>
    </w:rPr>
  </w:style>
  <w:style w:type="paragraph" w:styleId="12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NormalWeb">
    <w:name w:val="Normal (Web)"/>
    <w:basedOn w:val="12"/>
    <w:qFormat/>
    <w:pPr>
      <w:suppressAutoHyphens w:val="false"/>
      <w:spacing w:before="280" w:after="280"/>
    </w:pPr>
    <w:rPr/>
  </w:style>
  <w:style w:type="paragraph" w:styleId="Style24">
    <w:name w:val="Body Text Indent"/>
    <w:basedOn w:val="Normal"/>
    <w:pPr>
      <w:ind w:left="1440" w:firstLine="4372"/>
      <w:jc w:val="both"/>
    </w:pPr>
    <w:rPr>
      <w:sz w:val="28"/>
      <w:szCs w:val="20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glich.ru/uploaded/UMI.i.ZO/Docs/2021/Pril._1_Uglichskiy_MR_ZU_ranee_voznikshie_724422v1_2_dlya_sayta.xls" TargetMode="External"/><Relationship Id="rId3" Type="http://schemas.openxmlformats.org/officeDocument/2006/relationships/hyperlink" Target="http://uglich.ru/uploaded/UMI.i.ZO/Docs/2021/Pril._1_Uglichskiy_MR_OKS_724421v1_dlya_sayta.xls" TargetMode="External"/><Relationship Id="rId4" Type="http://schemas.openxmlformats.org/officeDocument/2006/relationships/hyperlink" Target="http://uglich.ru/uploaded/UMI.i.ZO/Docs/2021/Pril._1_Uglichskiy_MR_Pomescheniya_724423v1_dlya_sayta.xls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LibreOffice/5.3.3.2$Windows_X86_64 LibreOffice_project/3d9a8b4b4e538a85e0782bd6c2d430bafe583448</Application>
  <Pages>2</Pages>
  <Words>613</Words>
  <Characters>4510</Characters>
  <CharactersWithSpaces>5344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2021-10-15T15:17:09Z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