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700" cy="121094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21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9pt;height:95.2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0"/>
        </w:rPr>
        <w:t>Среда, 27 декабря 2023 года,</w:t>
      </w:r>
      <w:r>
        <w:rPr>
          <w:b/>
          <w:color w:val="00000A"/>
        </w:rPr>
        <w:t xml:space="preserve"> № 79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решения Собрания депутатов Ковылкинского сельского поселения от __12.2023 года №96 «Об установлении размера стоимости движимого имущества, </w:t>
      </w:r>
      <w:r>
        <w:rPr>
          <w:sz w:val="24"/>
          <w:szCs w:val="24"/>
        </w:rPr>
        <w:t>подлежащего учету в реестре муниципального имущества муниципального образования «Ковылкинское сельское поселение»»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«КОВЫЛКИНСКОЕ СЕЛЬСКОЕ ПОСЕЛЕНИЕ»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СОБРАНИЕ ДЕПУТАТОВ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КОВЫЛКИНСКОГО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РЕШЕНИЕ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 установлении размера стоимости движимого имущества,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подлежащего учету в реестре муниципального имущества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«Ковылкинское сельское поселение»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690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13"/>
        <w:gridCol w:w="2973"/>
        <w:gridCol w:w="3404"/>
      </w:tblGrid>
      <w:tr>
        <w:trPr/>
        <w:tc>
          <w:tcPr>
            <w:tcW w:w="33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A"/>
                <w:sz w:val="24"/>
                <w:szCs w:val="24"/>
              </w:rPr>
              <w:t>Принято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A"/>
                <w:sz w:val="24"/>
                <w:szCs w:val="24"/>
              </w:rPr>
              <w:t>Собранием депутатов</w:t>
            </w:r>
          </w:p>
        </w:tc>
        <w:tc>
          <w:tcPr>
            <w:tcW w:w="29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/>
                <w:color w:val="00000A"/>
                <w:sz w:val="24"/>
                <w:szCs w:val="24"/>
              </w:rPr>
              <w:t xml:space="preserve">№ </w:t>
            </w:r>
            <w:r>
              <w:rPr>
                <w:rFonts w:cs="Times New Roman"/>
                <w:color w:val="00000A"/>
                <w:sz w:val="24"/>
                <w:szCs w:val="24"/>
              </w:rPr>
              <w:t>96</w:t>
            </w:r>
          </w:p>
        </w:tc>
        <w:tc>
          <w:tcPr>
            <w:tcW w:w="34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 декабря 2023 года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851" w:leader="none"/>
        </w:tabs>
        <w:ind w:left="0" w:right="0" w:firstLine="720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«Ковылкинское сельское поселение», Собрание депутатов Ковылкинского сельского поселения</w:t>
      </w:r>
    </w:p>
    <w:p>
      <w:pPr>
        <w:pStyle w:val="Normal"/>
        <w:ind w:left="0" w:right="76" w:hanging="0"/>
        <w:jc w:val="center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1. Установить, что включению в реестр муниципального имущества муниципального образования «Ковылкинское сельское поселение»  подлежит находящееся в собственности муниципального образования движимое имущество, стоимость которого превышает 100000,00 рублей (Сто тысяч рублей).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2. Установить, что находящиеся в собственности муниципального образования «Ковылкинское сельское поселение»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образования «Ковылкинское сельское поселение»  независимо от их стоимости.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 Установить, что включению в реестр муниципального имущества муниципального образования «Ковылкинское сельское поселение»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муниципального образования «Ковылкинское сельское поселение», в связи с протокольными мероприятиями, со служебными командировками и с другими официальными мероприятиями.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4. Настоящее решение вступает в силу со дня его официального обнародования. 5. </w:t>
      </w:r>
      <w:r>
        <w:rPr>
          <w:color w:val="000000"/>
          <w:sz w:val="24"/>
          <w:szCs w:val="24"/>
        </w:rPr>
        <w:t>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0" w:right="2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депутатов-</w:t>
      </w:r>
    </w:p>
    <w:p>
      <w:pPr>
        <w:pStyle w:val="Normal"/>
        <w:ind w:left="0" w:right="2" w:hang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Ковылкинского сельского </w:t>
      </w:r>
      <w:r>
        <w:rPr>
          <w:b w:val="false"/>
          <w:bCs w:val="false"/>
          <w:color w:val="000000"/>
          <w:sz w:val="24"/>
          <w:szCs w:val="24"/>
        </w:rPr>
        <w:t>поселения                                            Н.А. Одинцова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79 от </w:t>
      </w:r>
      <w:r>
        <w:rPr>
          <w:b/>
          <w:bCs/>
          <w:i/>
          <w:iCs/>
          <w:color w:val="000000"/>
          <w:sz w:val="24"/>
          <w:szCs w:val="24"/>
        </w:rPr>
        <w:t xml:space="preserve">27.12.2023 года.   </w:t>
      </w:r>
      <w:r>
        <w:rPr>
          <w:b/>
          <w:bCs/>
          <w:i/>
          <w:iCs/>
          <w:sz w:val="24"/>
          <w:szCs w:val="24"/>
        </w:rPr>
        <w:t xml:space="preserve">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LibreOffice/5.3.3.2$Windows_X86_64 LibreOffice_project/3d9a8b4b4e538a85e0782bd6c2d430bafe583448</Application>
  <Pages>2</Pages>
  <Words>387</Words>
  <Characters>3255</Characters>
  <CharactersWithSpaces>3728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2023-11-27T14:12:30Z</cp:lastPrinted>
  <dcterms:modified xsi:type="dcterms:W3CDTF">2023-12-28T09:57:07Z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