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1"/>
        <w:tblW w:w="9853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rPr/>
        <w:tc>
          <w:tcPr>
            <w:tcW w:w="985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РОСТОВСКАЯ ОБЛАСТЬ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ТАЦИНСКИЙ РАЙОН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/>
      </w:pPr>
      <w:r>
        <w:rPr>
          <w:color w:val="000000"/>
          <w:sz w:val="28"/>
        </w:rPr>
        <w:t>07 августа 2023г.                             № 93</w:t>
      </w:r>
      <w:r>
        <w:rPr>
          <w:sz w:val="28"/>
        </w:rPr>
        <w:t xml:space="preserve">                                    х.Ковылкин</w:t>
      </w:r>
    </w:p>
    <w:p>
      <w:pPr>
        <w:pStyle w:val="Normal"/>
        <w:jc w:val="both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Об утверждении результатов рассмотрения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оценки эффективности налоговых льгот и ставок,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установленных муниципальным образованием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«Ковылкинское  сельское  поселение»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Ковылкинском сельском поселении и в соответствии с Распоряжением Правительства Российской Федерации от 08.08.2009 №1123-рс, Постановлением Администрации Ковылкинского сельского поселения от 01.04.2011г. №18 «Об утверждении Порядка оценки бюджетной и социальной эффективности предоставляемых (планируемых к предоставлению) налоговых льгот»,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ПОСТАНОВЛЯЮ: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1. 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земельному налогу согласно приложению №1 к настоящему постановлению.</w:t>
      </w:r>
    </w:p>
    <w:p>
      <w:pPr>
        <w:pStyle w:val="Normal"/>
        <w:jc w:val="both"/>
        <w:rPr>
          <w:b/>
          <w:b/>
          <w:sz w:val="28"/>
        </w:rPr>
      </w:pPr>
      <w:r>
        <w:rPr>
          <w:sz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>Утвердить результаты рассмотрения оценки эффективности налоговых льгот и ставок, установленных муниципальным образованием «Ковылкинское сельское поселение» по налогу на имущество физических лиц согласно приложению №2 к настоящему постановлению.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3.Настоящее постановление вступает в силу с момента  его подписания.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4.Контроль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Глава Администрации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</w:rPr>
        <w:t>сельского поселения                                                                 Т.В.Лачугина</w:t>
      </w:r>
    </w:p>
    <w:p>
      <w:pPr>
        <w:sectPr>
          <w:type w:val="nextPage"/>
          <w:pgSz w:w="11906" w:h="16838"/>
          <w:pgMar w:left="1418" w:right="851" w:header="0" w:top="567" w:footer="0" w:bottom="340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Приложение №1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bookmarkStart w:id="0" w:name="__DdeLink__325_2765700396"/>
      <w:r>
        <w:rPr>
          <w:color w:val="000000"/>
        </w:rPr>
        <w:t>от 07.08.2023г. №</w:t>
      </w:r>
      <w:bookmarkEnd w:id="0"/>
      <w:r>
        <w:rPr>
          <w:color w:val="000000"/>
        </w:rPr>
        <w:t>93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color w:val="000000"/>
          <w:sz w:val="28"/>
        </w:rPr>
        <w:t>Результаты рассмотрения оценки эффективности налоговых</w:t>
      </w:r>
      <w:r>
        <w:rPr>
          <w:b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 образованием «Ковылкинское сельское поселение» </w:t>
      </w:r>
      <w:r>
        <w:rPr>
          <w:b/>
          <w:color w:val="000000"/>
          <w:sz w:val="28"/>
        </w:rPr>
        <w:t>по земельному налогу</w:t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spacing w:lineRule="exact" w:line="322"/>
        <w:ind w:left="0" w:right="10" w:hanging="0"/>
        <w:jc w:val="both"/>
        <w:rPr/>
      </w:pPr>
      <w:r>
        <w:rPr>
          <w:sz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>
        <w:rPr>
          <w:spacing w:val="-1"/>
          <w:sz w:val="28"/>
        </w:rPr>
        <w:t xml:space="preserve">налоговых льгот по платежам в бюджет Ковылкинского сельского поселения </w:t>
      </w:r>
      <w:r>
        <w:rPr>
          <w:sz w:val="28"/>
        </w:rPr>
        <w:t xml:space="preserve">принято Постановление Администрации  </w:t>
      </w:r>
      <w:r>
        <w:rPr>
          <w:spacing w:val="-1"/>
          <w:sz w:val="28"/>
        </w:rPr>
        <w:t>Ковылкинского</w:t>
      </w:r>
      <w:r>
        <w:rPr>
          <w:sz w:val="28"/>
        </w:rPr>
        <w:t xml:space="preserve"> сельского поселения от </w:t>
      </w:r>
      <w:r>
        <w:rPr>
          <w:color w:val="000000"/>
          <w:sz w:val="28"/>
        </w:rPr>
        <w:t>01.04.2011г №18</w:t>
      </w:r>
      <w:r>
        <w:rPr>
          <w:sz w:val="28"/>
        </w:rPr>
        <w:t xml:space="preserve"> «Об   утверждении Порядка оценки </w:t>
      </w:r>
      <w:r>
        <w:rPr>
          <w:spacing w:val="-2"/>
          <w:sz w:val="28"/>
        </w:rPr>
        <w:t>бюджетной и социальной эффектив</w:t>
      </w:r>
      <w:r>
        <w:rPr>
          <w:sz w:val="28"/>
        </w:rPr>
        <w:t xml:space="preserve">ности предоставляемых (планируемых к предоставлению) налоговых льгот».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>
      <w:pPr>
        <w:pStyle w:val="Normal"/>
        <w:jc w:val="both"/>
        <w:rPr/>
      </w:pPr>
      <w:r>
        <w:rPr>
          <w:sz w:val="28"/>
        </w:rPr>
        <w:t>Основанием предоставления налоговых льгот в 2022 г. по земельному налогу является пункт 3  Решения Собрания депутатов Ковылкинского сельского поселения от 31.03.2022г №3</w:t>
      </w:r>
      <w:r>
        <w:rPr>
          <w:sz w:val="28"/>
        </w:rPr>
        <w:t>1</w:t>
      </w:r>
      <w:r>
        <w:rPr>
          <w:sz w:val="28"/>
        </w:rPr>
        <w:t xml:space="preserve">  «О земельном налоге» в виде полного освобождения от налогообложения отдельных категорий налогоплательщиков.</w:t>
      </w:r>
    </w:p>
    <w:p>
      <w:pPr>
        <w:pStyle w:val="Normal"/>
        <w:jc w:val="both"/>
        <w:rPr/>
      </w:pPr>
      <w:r>
        <w:rPr>
          <w:sz w:val="28"/>
        </w:rPr>
        <w:t xml:space="preserve">Общая сумма предоставленных в 2022 году льгот по земельному налогу  составила 43,4 тыс. рублей.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Информация о льготах  в виде полного освобождения  от уплаты земельного налога представлена в таблице №1.</w:t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  <w:t>Таблица №1.</w:t>
      </w:r>
    </w:p>
    <w:tbl>
      <w:tblPr>
        <w:tblStyle w:val="Style_1"/>
        <w:tblW w:w="10993" w:type="dxa"/>
        <w:jc w:val="left"/>
        <w:tblInd w:w="-1082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72" w:type="dxa"/>
          <w:bottom w:w="0" w:type="dxa"/>
          <w:right w:w="108" w:type="dxa"/>
        </w:tblCellMar>
      </w:tblPr>
      <w:tblGrid>
        <w:gridCol w:w="1478"/>
        <w:gridCol w:w="1989"/>
        <w:gridCol w:w="1319"/>
        <w:gridCol w:w="1591"/>
        <w:gridCol w:w="1278"/>
        <w:gridCol w:w="1945"/>
        <w:gridCol w:w="1392"/>
      </w:tblGrid>
      <w:tr>
        <w:trPr>
          <w:trHeight w:val="305" w:hRule="atLeast"/>
        </w:trPr>
        <w:tc>
          <w:tcPr>
            <w:tcW w:w="14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9514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по итогам 2022 года</w:t>
            </w:r>
          </w:p>
        </w:tc>
      </w:tr>
      <w:tr>
        <w:trPr>
          <w:trHeight w:val="751" w:hRule="atLeast"/>
        </w:trPr>
        <w:tc>
          <w:tcPr>
            <w:tcW w:w="14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9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2022 году</w:t>
            </w:r>
          </w:p>
        </w:tc>
        <w:tc>
          <w:tcPr>
            <w:tcW w:w="13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Размер пониженной ставки, полное или частичное освобождение</w:t>
            </w:r>
          </w:p>
        </w:tc>
        <w:tc>
          <w:tcPr>
            <w:tcW w:w="15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  <w:tc>
          <w:tcPr>
            <w:tcW w:w="4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Информация о результатах произведенной в 2023 году оценки эффективности льгот, действовавших на территории в 2022 году.</w:t>
            </w:r>
          </w:p>
        </w:tc>
      </w:tr>
      <w:tr>
        <w:trPr>
          <w:trHeight w:val="1706" w:hRule="atLeast"/>
        </w:trPr>
        <w:tc>
          <w:tcPr>
            <w:tcW w:w="147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9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дата рассмотрения</w:t>
            </w: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принятое решение (отменить/сохранить)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color w:val="000000"/>
                <w:sz w:val="20"/>
              </w:rPr>
              <w:t>реквизиты нормативного правового акта, принятого в 2021 году (при наличии)</w:t>
            </w:r>
          </w:p>
        </w:tc>
      </w:tr>
      <w:tr>
        <w:trPr>
          <w:trHeight w:val="214" w:hRule="atLeast"/>
        </w:trPr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9</w:t>
            </w:r>
          </w:p>
        </w:tc>
      </w:tr>
      <w:tr>
        <w:trPr>
          <w:trHeight w:val="3285" w:hRule="atLeast"/>
        </w:trPr>
        <w:tc>
          <w:tcPr>
            <w:tcW w:w="1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Постановление Администрации  Ковылкинского сельского поселения от 01.04.2011г №18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ind w:left="0" w:right="0" w:firstLine="54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1) Герои Советского Союза, Герои Российской Федерации, Герои Социалистического труда, полные кавалеры ордена Славы, Трудовой славы и « За службу Родине в Вооруженных силах СССР»;</w:t>
            </w:r>
          </w:p>
          <w:p>
            <w:pPr>
              <w:pStyle w:val="Normal"/>
              <w:ind w:left="0" w:right="0" w:firstLine="540"/>
              <w:jc w:val="both"/>
              <w:rPr>
                <w:sz w:val="20"/>
              </w:rPr>
            </w:pPr>
            <w:r>
              <w:rPr>
                <w:sz w:val="20"/>
              </w:rPr>
              <w:t>2) инвалиды, имеющие I и II группу инвалидности;</w:t>
            </w:r>
          </w:p>
          <w:p>
            <w:pPr>
              <w:pStyle w:val="Normal"/>
              <w:ind w:left="0" w:right="0" w:firstLine="540"/>
              <w:jc w:val="both"/>
              <w:rPr>
                <w:sz w:val="20"/>
              </w:rPr>
            </w:pPr>
            <w:r>
              <w:rPr>
                <w:sz w:val="20"/>
              </w:rPr>
              <w:t>3) инвалиды с детства;</w:t>
            </w:r>
          </w:p>
          <w:p>
            <w:pPr>
              <w:pStyle w:val="Normal"/>
              <w:ind w:left="0" w:right="0" w:firstLine="540"/>
              <w:jc w:val="both"/>
              <w:rPr>
                <w:sz w:val="20"/>
              </w:rPr>
            </w:pPr>
            <w:r>
              <w:rPr>
                <w:sz w:val="20"/>
              </w:rPr>
              <w:t>4)  ветераны и инвалиды Великой Отечественной войны, а также ветераны и инвалиды боевых действий;</w:t>
            </w:r>
          </w:p>
          <w:p>
            <w:pPr>
              <w:pStyle w:val="Normal"/>
              <w:ind w:left="0" w:right="0" w:firstLine="540"/>
              <w:jc w:val="both"/>
              <w:rPr/>
            </w:pPr>
            <w:r>
              <w:rPr>
                <w:sz w:val="20"/>
              </w:rPr>
              <w:t xml:space="preserve">5) физические лица, имеющие право на получение социальной поддержки в соответствии с </w:t>
            </w:r>
            <w:hyperlink r:id="rId2">
              <w:r>
                <w:rPr>
                  <w:rStyle w:val="Style9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      </w:r>
            <w:hyperlink r:id="rId3">
              <w:r>
                <w:rPr>
                  <w:rStyle w:val="Style9"/>
                  <w:sz w:val="20"/>
                </w:rPr>
                <w:t>Закона</w:t>
              </w:r>
            </w:hyperlink>
            <w:r>
              <w:rPr>
                <w:sz w:val="20"/>
              </w:rPr>
              <w:t xml:space="preserve"> Российской Федерации от 18 июня 1992 года N 3061-1), в соответствии с Федеральным </w:t>
            </w:r>
            <w:hyperlink r:id="rId4">
              <w:r>
                <w:rPr>
                  <w:rStyle w:val="Style9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      </w:r>
            <w:hyperlink r:id="rId5">
              <w:r>
                <w:rPr>
                  <w:rStyle w:val="Style9"/>
                  <w:sz w:val="20"/>
                </w:rPr>
                <w:t>законом</w:t>
              </w:r>
            </w:hyperlink>
            <w:r>
              <w:rPr>
                <w:sz w:val="20"/>
              </w:rPr>
      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  <w:t>6) физические лица,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  <w:t>7) 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>
            <w:pPr>
              <w:pStyle w:val="Normal"/>
              <w:ind w:left="0" w:right="13" w:hanging="0"/>
              <w:jc w:val="both"/>
              <w:rPr>
                <w:sz w:val="20"/>
              </w:rPr>
            </w:pPr>
            <w:r>
              <w:rPr>
                <w:sz w:val="20"/>
              </w:rPr>
              <w:t>8)Граждане Российской Федерации, проживающие на территории Ковылкинского сельского поселения не менее чем 5 лет, предшествующих дате подачи заявления о бесплатном предоставлении земельного участка в собственность, в соответствии со статьями</w:t>
            </w:r>
            <w:r>
              <w:rPr>
                <w:color w:val="5C5B5B"/>
                <w:sz w:val="20"/>
                <w:highlight w:val="white"/>
              </w:rPr>
              <w:t xml:space="preserve"> 8</w:t>
            </w:r>
            <w:r>
              <w:rPr>
                <w:color w:val="5C5B5B"/>
                <w:sz w:val="20"/>
                <w:highlight w:val="white"/>
                <w:vertAlign w:val="superscript"/>
              </w:rPr>
              <w:t>2</w:t>
            </w:r>
            <w:r>
              <w:rPr>
                <w:sz w:val="20"/>
              </w:rPr>
              <w:t xml:space="preserve"> и </w:t>
            </w:r>
            <w:r>
              <w:rPr>
                <w:color w:val="5C5B5B"/>
                <w:sz w:val="20"/>
                <w:highlight w:val="white"/>
              </w:rPr>
              <w:t>8</w:t>
            </w:r>
            <w:r>
              <w:rPr>
                <w:color w:val="5C5B5B"/>
                <w:sz w:val="20"/>
                <w:highlight w:val="white"/>
                <w:vertAlign w:val="superscript"/>
              </w:rPr>
              <w:t>3</w:t>
            </w:r>
            <w:r>
              <w:rPr>
                <w:sz w:val="20"/>
              </w:rPr>
              <w:t xml:space="preserve"> Областного закона от 22.07.2003 № 19-ЗС, имеющие трех и более несовершеннолетних детей и совместно проживающие с ними;</w:t>
            </w:r>
          </w:p>
          <w:p>
            <w:pPr>
              <w:pStyle w:val="Normal"/>
              <w:widowControl w:val="false"/>
              <w:ind w:left="0" w:right="45" w:hanging="0"/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9) Граждане Российской Федерации, проживающих на территории Ковылкинского сельского поселения не менее 5 лет, предшествующих дате подачи заявления о бесплатном предоставлении земельного участка в собственность, в соответствии со статьями</w:t>
            </w:r>
            <w:r>
              <w:rPr>
                <w:color w:val="000000"/>
                <w:sz w:val="20"/>
                <w:highlight w:val="white"/>
              </w:rPr>
              <w:t xml:space="preserve"> 8</w:t>
            </w:r>
            <w:r>
              <w:rPr>
                <w:color w:val="000000"/>
                <w:sz w:val="20"/>
                <w:highlight w:val="white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и </w:t>
            </w:r>
            <w:r>
              <w:rPr>
                <w:color w:val="000000"/>
                <w:sz w:val="20"/>
                <w:highlight w:val="white"/>
              </w:rPr>
              <w:t>8</w:t>
            </w:r>
            <w:r>
              <w:rPr>
                <w:color w:val="000000"/>
                <w:sz w:val="20"/>
                <w:highlight w:val="white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 xml:space="preserve"> Областного закона от 22.07.2003 № 19-ЗС, имеющих трех и более усыновленных (удочеренных), а также находящихся под опекой и попечительством детей (при условии воспитание этих детей не менее 3 лет), и совместно проживающие с ними</w:t>
            </w:r>
            <w:r>
              <w:rPr>
                <w:color w:val="000000"/>
                <w:spacing w:val="2"/>
                <w:sz w:val="20"/>
              </w:rPr>
              <w:t>»;</w:t>
            </w:r>
          </w:p>
          <w:p>
            <w:pPr>
              <w:pStyle w:val="Normal"/>
              <w:ind w:left="0" w:right="13" w:hanging="0"/>
              <w:jc w:val="both"/>
              <w:rPr>
                <w:sz w:val="20"/>
              </w:rPr>
            </w:pPr>
            <w:r>
              <w:rPr>
                <w:sz w:val="20"/>
              </w:rPr>
              <w:t>10) Граждане Российской Федерации, проживающих на территории Ковылкинского  сельского поселения, имеющих в составе семьи ребенка-инвалида.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sz w:val="20"/>
              </w:rPr>
            </w:pPr>
            <w:r>
              <w:rPr>
                <w:sz w:val="20"/>
              </w:rPr>
              <w:t>11) Граждане Российской Федерации, проживающие на территории Ковылкинского сельского поселения - лица, призванные на военную службу по мобилизации, а также члены их семей от уплаты земельного налога по срокам уплаты: 1 декабря 2022года и 1 декабря 2023 года. К 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</w:t>
            </w:r>
          </w:p>
        </w:tc>
        <w:tc>
          <w:tcPr>
            <w:tcW w:w="1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полное освобождение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43,4</w:t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color w:val="000000"/>
                <w:sz w:val="20"/>
              </w:rPr>
              <w:t>07.08.2023</w:t>
            </w:r>
          </w:p>
        </w:tc>
        <w:tc>
          <w:tcPr>
            <w:tcW w:w="1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color w:val="000000"/>
                <w:sz w:val="20"/>
              </w:rPr>
              <w:t>сохранить</w:t>
            </w:r>
          </w:p>
        </w:tc>
        <w:tc>
          <w:tcPr>
            <w:tcW w:w="1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bookmarkStart w:id="1" w:name="__DdeLink__748_3977155247"/>
            <w:r>
              <w:rPr>
                <w:color w:val="000000"/>
                <w:sz w:val="20"/>
              </w:rPr>
              <w:t>07.08.</w:t>
            </w:r>
            <w:bookmarkStart w:id="2" w:name="__DdeLink__334_3099208510"/>
            <w:bookmarkEnd w:id="2"/>
            <w:r>
              <w:rPr>
                <w:color w:val="000000"/>
                <w:sz w:val="20"/>
              </w:rPr>
              <w:t>2023 №</w:t>
            </w:r>
            <w:bookmarkEnd w:id="1"/>
            <w:r>
              <w:rPr>
                <w:color w:val="000000"/>
                <w:sz w:val="20"/>
              </w:rPr>
              <w:t>93</w:t>
            </w:r>
          </w:p>
        </w:tc>
      </w:tr>
    </w:tbl>
    <w:p>
      <w:pPr>
        <w:pStyle w:val="Normal"/>
        <w:widowControl w:val="false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 xml:space="preserve">В 2022 году поступления по земельному налогу с учетом недоимки прошлых лет в бюджет муниципального образования составили </w:t>
      </w:r>
      <w:r>
        <w:rPr>
          <w:color w:val="000000"/>
          <w:sz w:val="28"/>
        </w:rPr>
        <w:t>1897,2 тыс. рублей при плановом задании в  1668,8 тыс. рублей, исполнено на 113,7%.</w:t>
      </w:r>
      <w:r>
        <w:rPr>
          <w:sz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</w:rPr>
        <w:t xml:space="preserve">    </w:t>
      </w:r>
      <w:r>
        <w:rPr>
          <w:sz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земельного налога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bookmarkStart w:id="3" w:name="__DdeLink__723_3781510725"/>
      <w:bookmarkEnd w:id="3"/>
      <w:r>
        <w:rPr>
          <w:sz w:val="28"/>
        </w:rPr>
        <w:t xml:space="preserve">Ведущий специалист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Ковылкинского сельского поселения                              Е.Л. Виноградова</w:t>
      </w:r>
    </w:p>
    <w:p>
      <w:pPr>
        <w:pStyle w:val="Normal"/>
        <w:jc w:val="both"/>
        <w:rPr>
          <w:sz w:val="28"/>
        </w:rPr>
      </w:pPr>
      <w:bookmarkStart w:id="4" w:name="__DdeLink__723_37815107251"/>
      <w:bookmarkStart w:id="5" w:name="__DdeLink__723_37815107251"/>
      <w:bookmarkEnd w:id="5"/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Приложение №2 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Ковылкинского сельского поселения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от 07.08.2023г. №93</w:t>
      </w:r>
    </w:p>
    <w:p>
      <w:pPr>
        <w:pStyle w:val="Normal"/>
        <w:jc w:val="center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color w:val="000000"/>
          <w:sz w:val="28"/>
        </w:rPr>
        <w:t>Результаты рассмотрения оценки эффективности налоговых</w:t>
      </w:r>
      <w:r>
        <w:rPr>
          <w:b/>
          <w:color w:val="000000"/>
          <w:sz w:val="28"/>
        </w:rPr>
        <w:t xml:space="preserve"> льгот </w:t>
      </w:r>
      <w:r>
        <w:rPr>
          <w:color w:val="000000"/>
          <w:sz w:val="28"/>
        </w:rPr>
        <w:t xml:space="preserve">и </w:t>
      </w:r>
      <w:r>
        <w:rPr>
          <w:b/>
          <w:color w:val="000000"/>
          <w:sz w:val="28"/>
        </w:rPr>
        <w:t>ставок,</w:t>
      </w:r>
      <w:r>
        <w:rPr>
          <w:color w:val="000000"/>
          <w:sz w:val="28"/>
        </w:rPr>
        <w:t xml:space="preserve"> установленных муниципальным образованием «</w:t>
      </w:r>
      <w:r>
        <w:rPr>
          <w:spacing w:val="-1"/>
          <w:sz w:val="28"/>
        </w:rPr>
        <w:t>Ковылкинское</w:t>
      </w:r>
      <w:r>
        <w:rPr>
          <w:color w:val="000000"/>
          <w:sz w:val="28"/>
        </w:rPr>
        <w:t xml:space="preserve">  сельское поселение» </w:t>
      </w:r>
      <w:r>
        <w:rPr>
          <w:b/>
          <w:color w:val="000000"/>
          <w:sz w:val="28"/>
        </w:rPr>
        <w:t>по налогу на имущество физических лиц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лиц  в отношении каждой из предоставленных льгот и по каждой категории их получателей.</w:t>
      </w:r>
    </w:p>
    <w:p>
      <w:pPr>
        <w:pStyle w:val="Normal"/>
        <w:widowControl w:val="false"/>
        <w:jc w:val="both"/>
        <w:rPr/>
      </w:pPr>
      <w:r>
        <w:rPr>
          <w:sz w:val="28"/>
        </w:rPr>
        <w:t>Категории налогоплательщиков, освобожденных от уплаты налога на имущество физических лиц установлены были на 2022 год в соответствие со статьей 4 Закона РФ от 09.12.1991г. №2003-1 «О налогах на имущество физических лиц» и действуют в полном объеме в связи с принятием Федерального закона от</w:t>
      </w:r>
      <w:r>
        <w:rPr>
          <w:color w:val="000040"/>
          <w:sz w:val="28"/>
        </w:rPr>
        <w:t xml:space="preserve"> 04.10.2014г. №284-ФЗ </w:t>
      </w:r>
      <w:hyperlink r:id="rId6">
        <w:r>
          <w:rPr>
            <w:rStyle w:val="Style9"/>
            <w:color w:val="000040"/>
            <w:sz w:val="28"/>
            <w:u w:val="none"/>
          </w:rPr>
          <w:t xml:space="preserve">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в соответствие с пунктами 2-7 </w:t>
        </w:r>
      </w:hyperlink>
      <w:r>
        <w:rPr>
          <w:color w:val="000040"/>
          <w:sz w:val="28"/>
        </w:rPr>
        <w:t xml:space="preserve">  статьи 407 главы 32 Налогового  кодекса Российской Федерации.</w:t>
      </w:r>
    </w:p>
    <w:p>
      <w:pPr>
        <w:pStyle w:val="Normal"/>
        <w:jc w:val="both"/>
        <w:rPr/>
      </w:pPr>
      <w:r>
        <w:rPr>
          <w:sz w:val="28"/>
        </w:rPr>
        <w:t>Ставки налога на имущество установлены  Решением Собрания депутатов Ковылкинского сельского поселения от 29.11.2019г №137  «О  налоге на имущество физических лиц».</w:t>
      </w:r>
    </w:p>
    <w:p>
      <w:pPr>
        <w:pStyle w:val="Normal"/>
        <w:jc w:val="both"/>
        <w:rPr/>
      </w:pPr>
      <w:r>
        <w:rPr>
          <w:sz w:val="28"/>
        </w:rPr>
        <w:t xml:space="preserve">Общая сумма предоставленных в 2022 году льгот по налогу на имущество физических лиц составила </w:t>
      </w:r>
      <w:r>
        <w:rPr>
          <w:color w:val="000040"/>
          <w:sz w:val="28"/>
        </w:rPr>
        <w:t>0,3</w:t>
      </w:r>
      <w:r>
        <w:rPr>
          <w:color w:val="00B0F0"/>
          <w:sz w:val="28"/>
        </w:rPr>
        <w:t xml:space="preserve"> </w:t>
      </w:r>
      <w:r>
        <w:rPr>
          <w:sz w:val="28"/>
        </w:rPr>
        <w:t xml:space="preserve">тыс. рублей.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Информация о льготах  в виде полного освобождения  от уплаты налога на имущество физических лиц представлена в таблице №1.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/>
      </w:pPr>
      <w:r>
        <w:rPr/>
      </w:r>
    </w:p>
    <w:p>
      <w:pPr>
        <w:pStyle w:val="Normal"/>
        <w:tabs>
          <w:tab w:val="left" w:pos="1305" w:leader="none"/>
        </w:tabs>
        <w:spacing w:before="0" w:after="120"/>
        <w:jc w:val="right"/>
        <w:rPr>
          <w:b/>
          <w:b/>
          <w:color w:val="FF0000"/>
          <w:sz w:val="20"/>
        </w:rPr>
      </w:pPr>
      <w:r>
        <w:rPr/>
        <w:t>Таблица №1.</w:t>
      </w:r>
    </w:p>
    <w:tbl>
      <w:tblPr>
        <w:tblStyle w:val="Style_1"/>
        <w:tblW w:w="10545" w:type="dxa"/>
        <w:jc w:val="left"/>
        <w:tblInd w:w="-625" w:type="dxa"/>
        <w:tblBorders>
          <w:top w:val="single" w:sz="2" w:space="0" w:color="000001"/>
          <w:left w:val="single" w:sz="2" w:space="0" w:color="000001"/>
          <w:bottom w:val="single" w:sz="6" w:space="0" w:color="00000A"/>
          <w:right w:val="single" w:sz="2" w:space="0" w:color="000001"/>
          <w:insideH w:val="single" w:sz="6" w:space="0" w:color="00000A"/>
          <w:insideV w:val="single" w:sz="2" w:space="0" w:color="000001"/>
        </w:tblBorders>
        <w:tblCellMar>
          <w:top w:w="0" w:type="dxa"/>
          <w:left w:w="72" w:type="dxa"/>
          <w:bottom w:w="0" w:type="dxa"/>
          <w:right w:w="108" w:type="dxa"/>
        </w:tblCellMar>
      </w:tblPr>
      <w:tblGrid>
        <w:gridCol w:w="1577"/>
        <w:gridCol w:w="2144"/>
        <w:gridCol w:w="1373"/>
        <w:gridCol w:w="1622"/>
        <w:gridCol w:w="1303"/>
        <w:gridCol w:w="1106"/>
        <w:gridCol w:w="1419"/>
      </w:tblGrid>
      <w:tr>
        <w:trPr>
          <w:trHeight w:val="305" w:hRule="atLeast"/>
        </w:trPr>
        <w:tc>
          <w:tcPr>
            <w:tcW w:w="157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2"/>
              </w:rPr>
            </w:pPr>
            <w:r>
              <w:rPr>
                <w:color w:val="000000"/>
                <w:sz w:val="20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967" w:type="dxa"/>
            <w:gridSpan w:val="6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по итогам 2022 года</w:t>
            </w:r>
          </w:p>
        </w:tc>
      </w:tr>
      <w:tr>
        <w:trPr>
          <w:trHeight w:val="214" w:hRule="atLeast"/>
        </w:trPr>
        <w:tc>
          <w:tcPr>
            <w:tcW w:w="15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vMerge w:val="restart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spacing w:lineRule="auto" w:line="276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2022 году</w:t>
            </w:r>
          </w:p>
        </w:tc>
        <w:tc>
          <w:tcPr>
            <w:tcW w:w="13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Размер пониженной ставки, полное или частичное освобождение</w:t>
            </w:r>
          </w:p>
        </w:tc>
        <w:tc>
          <w:tcPr>
            <w:tcW w:w="162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Объем предоставленных льгот и ставок</w:t>
            </w:r>
          </w:p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тыс.руб.</w:t>
            </w:r>
          </w:p>
        </w:tc>
        <w:tc>
          <w:tcPr>
            <w:tcW w:w="382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color w:val="000000"/>
                <w:sz w:val="20"/>
              </w:rPr>
              <w:t>Информация о результатах произведенной в 2023 году оценки эффективности льгот, действовавших на территории в 2022 году.</w:t>
            </w:r>
          </w:p>
        </w:tc>
      </w:tr>
      <w:tr>
        <w:trPr>
          <w:trHeight w:val="1493" w:hRule="atLeast"/>
        </w:trPr>
        <w:tc>
          <w:tcPr>
            <w:tcW w:w="157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6" w:space="0" w:color="00000A"/>
              <w:right w:val="single" w:sz="2" w:space="0" w:color="000001"/>
              <w:insideH w:val="single" w:sz="6" w:space="0" w:color="00000A"/>
              <w:insideV w:val="single" w:sz="2" w:space="0" w:color="000001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44" w:type="dxa"/>
            <w:vMerge w:val="continue"/>
            <w:tcBorders>
              <w:top w:val="single" w:sz="6" w:space="0" w:color="00000A"/>
              <w:left w:val="single" w:sz="2" w:space="0" w:color="000001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дата рассмотрения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принятое решение (отменить/ сохранить)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color w:val="000000"/>
                <w:sz w:val="20"/>
              </w:rPr>
              <w:t>реквизиты нормативного правового акта, принятого в 2019 году (при наличии)</w:t>
            </w:r>
          </w:p>
        </w:tc>
      </w:tr>
      <w:tr>
        <w:trPr>
          <w:trHeight w:val="170" w:hRule="atLeast"/>
        </w:trPr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i/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9</w:t>
            </w:r>
          </w:p>
        </w:tc>
      </w:tr>
      <w:tr>
        <w:trPr>
          <w:trHeight w:val="1686" w:hRule="atLeast"/>
        </w:trPr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r>
              <w:rPr>
                <w:spacing w:val="-1"/>
                <w:sz w:val="20"/>
              </w:rPr>
              <w:t>Ковылкинского</w:t>
            </w:r>
            <w:r>
              <w:rPr>
                <w:color w:val="000000"/>
                <w:sz w:val="20"/>
              </w:rPr>
              <w:t xml:space="preserve"> сельского поселения от 01.04.2011г №18</w:t>
            </w:r>
          </w:p>
        </w:tc>
        <w:tc>
          <w:tcPr>
            <w:tcW w:w="21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граждан Российской Федерации, являющихся членами многодетных семей, относящихся в установленном порядке к малоимущим, граждан Российской Федерации, имеющих в составе семьи ребенка-инвалида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>полное освобождение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07.08.2023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>
                <w:color w:val="000000"/>
              </w:rPr>
            </w:pPr>
            <w:r>
              <w:rPr>
                <w:color w:val="000000"/>
                <w:sz w:val="20"/>
              </w:rPr>
              <w:t>сохранить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76"/>
              <w:rPr/>
            </w:pPr>
            <w:r>
              <w:rPr>
                <w:color w:val="000000"/>
                <w:sz w:val="20"/>
              </w:rPr>
              <w:t>07.08.2023</w:t>
            </w:r>
            <w:bookmarkStart w:id="6" w:name="__DdeLink__334_30992085101"/>
            <w:bookmarkEnd w:id="6"/>
            <w:r>
              <w:rPr>
                <w:color w:val="000000"/>
                <w:sz w:val="20"/>
              </w:rPr>
              <w:t>№93</w:t>
            </w:r>
          </w:p>
        </w:tc>
      </w:tr>
    </w:tbl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both"/>
        <w:rPr>
          <w:color w:val="000000"/>
        </w:rPr>
      </w:pPr>
      <w:r>
        <w:rPr>
          <w:sz w:val="28"/>
        </w:rPr>
        <w:t xml:space="preserve">В 2022 году поступления по налогу на имущество физических лиц с учетом недоимки прошлых лет в бюджет муниципального образования составили </w:t>
      </w:r>
      <w:r>
        <w:rPr>
          <w:color w:val="000000"/>
          <w:sz w:val="28"/>
        </w:rPr>
        <w:t>130,1 тыс. рублей при плановом задании в  92,5 тыс. рублей, исполнено на 140,6 %.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отмены, негативные внешние эффекты предоставления налоговых льгот отсутствуют.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Ковылкинского сельского поселения                              Е.Л. Виноградова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701" w:right="850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367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A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5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8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2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7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4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rFonts w:ascii="Times New Roman" w:hAnsi="Times New Roman"/>
      <w:color w:val="00000A"/>
      <w:sz w:val="24"/>
    </w:rPr>
  </w:style>
  <w:style w:type="character" w:styleId="Style9">
    <w:name w:val="Интернет-ссылка"/>
    <w:link w:val="Style_2"/>
    <w:rPr>
      <w:color w:val="000080"/>
      <w:u w:val="single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Contents4">
    <w:name w:val="Contents 4"/>
    <w:link w:val="Style_7"/>
    <w:qFormat/>
    <w:rPr>
      <w:rFonts w:ascii="XO Thames" w:hAnsi="XO Thames"/>
      <w:sz w:val="28"/>
    </w:rPr>
  </w:style>
  <w:style w:type="character" w:styleId="Contents6">
    <w:name w:val="Contents 6"/>
    <w:link w:val="Style_8"/>
    <w:qFormat/>
    <w:rPr>
      <w:rFonts w:ascii="XO Thames" w:hAnsi="XO Thames"/>
      <w:sz w:val="28"/>
    </w:rPr>
  </w:style>
  <w:style w:type="character" w:styleId="Contents7">
    <w:name w:val="Contents 7"/>
    <w:link w:val="Style_9"/>
    <w:qFormat/>
    <w:rPr>
      <w:rFonts w:ascii="XO Thames" w:hAnsi="XO Thames"/>
      <w:sz w:val="28"/>
    </w:rPr>
  </w:style>
  <w:style w:type="character" w:styleId="Style10">
    <w:name w:val="Заголовок"/>
    <w:basedOn w:val="Standard"/>
    <w:link w:val="Style_10"/>
    <w:qFormat/>
    <w:rPr>
      <w:rFonts w:ascii="Liberation Sans" w:hAnsi="Liberation Sans"/>
      <w:sz w:val="28"/>
    </w:rPr>
  </w:style>
  <w:style w:type="character" w:styleId="Heading3">
    <w:name w:val="Heading 3"/>
    <w:link w:val="Style_12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Style_5"/>
    <w:qFormat/>
    <w:rPr/>
  </w:style>
  <w:style w:type="character" w:styleId="Contents3">
    <w:name w:val="Contents 3"/>
    <w:link w:val="Style_13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11"/>
    <w:qFormat/>
    <w:rPr/>
  </w:style>
  <w:style w:type="character" w:styleId="Heading5">
    <w:name w:val="Heading 5"/>
    <w:link w:val="Style_14"/>
    <w:qFormat/>
    <w:rPr>
      <w:rFonts w:ascii="XO Thames" w:hAnsi="XO Thames"/>
      <w:b/>
      <w:sz w:val="22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List">
    <w:name w:val="List"/>
    <w:basedOn w:val="Textbody"/>
    <w:link w:val="Style_19"/>
    <w:qFormat/>
    <w:rPr/>
  </w:style>
  <w:style w:type="character" w:styleId="Contents9">
    <w:name w:val="Contents 9"/>
    <w:link w:val="Style_20"/>
    <w:qFormat/>
    <w:rPr>
      <w:rFonts w:ascii="XO Thames" w:hAnsi="XO Thames"/>
      <w:sz w:val="28"/>
    </w:rPr>
  </w:style>
  <w:style w:type="character" w:styleId="Contents8">
    <w:name w:val="Contents 8"/>
    <w:link w:val="Style_21"/>
    <w:qFormat/>
    <w:rPr>
      <w:rFonts w:ascii="XO Thames" w:hAnsi="XO Thames"/>
      <w:sz w:val="28"/>
    </w:rPr>
  </w:style>
  <w:style w:type="character" w:styleId="Caption">
    <w:name w:val="Caption"/>
    <w:basedOn w:val="Standard"/>
    <w:link w:val="Style_22"/>
    <w:qFormat/>
    <w:rPr>
      <w:i/>
      <w:sz w:val="24"/>
    </w:rPr>
  </w:style>
  <w:style w:type="character" w:styleId="Contents5">
    <w:name w:val="Contents 5"/>
    <w:link w:val="Style_23"/>
    <w:qFormat/>
    <w:rPr>
      <w:rFonts w:ascii="XO Thames" w:hAnsi="XO Thames"/>
      <w:sz w:val="28"/>
    </w:rPr>
  </w:style>
  <w:style w:type="character" w:styleId="Indexheading">
    <w:name w:val="index heading"/>
    <w:basedOn w:val="Standard"/>
    <w:link w:val="Style_24"/>
    <w:qFormat/>
    <w:rPr/>
  </w:style>
  <w:style w:type="character" w:styleId="Subtitle">
    <w:name w:val="Subtitle"/>
    <w:link w:val="Style_25"/>
    <w:qFormat/>
    <w:rPr>
      <w:rFonts w:ascii="XO Thames" w:hAnsi="XO Thames"/>
      <w:i/>
      <w:sz w:val="24"/>
    </w:rPr>
  </w:style>
  <w:style w:type="character" w:styleId="Title">
    <w:name w:val="Title"/>
    <w:link w:val="Style_26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7"/>
    <w:qFormat/>
    <w:rPr>
      <w:rFonts w:ascii="XO Thames" w:hAnsi="XO Thames"/>
      <w:b/>
      <w:sz w:val="24"/>
    </w:rPr>
  </w:style>
  <w:style w:type="character" w:styleId="Heading2">
    <w:name w:val="Heading 2"/>
    <w:link w:val="Style_28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link w:val="Style_10_ch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Style12">
    <w:name w:val="Body Text"/>
    <w:basedOn w:val="Normal"/>
    <w:link w:val="Style_11_ch"/>
    <w:pPr>
      <w:spacing w:lineRule="auto" w:line="288" w:before="0" w:after="140"/>
    </w:pPr>
    <w:rPr/>
  </w:style>
  <w:style w:type="paragraph" w:styleId="Style13">
    <w:name w:val="List"/>
    <w:basedOn w:val="Style12"/>
    <w:link w:val="Style_19_ch"/>
    <w:pPr/>
    <w:rPr/>
  </w:style>
  <w:style w:type="paragraph" w:styleId="Style14">
    <w:name w:val="Caption"/>
    <w:basedOn w:val="Normal"/>
    <w:link w:val="Style_22_ch"/>
    <w:qFormat/>
    <w:pPr>
      <w:spacing w:before="120" w:after="120"/>
    </w:pPr>
    <w:rPr>
      <w:i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Интернет-ссылка"/>
    <w:basedOn w:val="DefaultParagraphFont1"/>
    <w:link w:val="Style_3_ch"/>
    <w:qFormat/>
    <w:pPr/>
    <w:rPr>
      <w:color w:val="0000FF"/>
      <w:u w:val="single"/>
    </w:rPr>
  </w:style>
  <w:style w:type="paragraph" w:styleId="21">
    <w:name w:val="TOC 2"/>
    <w:basedOn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7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8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9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5_ch"/>
    <w:qFormat/>
    <w:pPr>
      <w:widowControl/>
      <w:bidi w:val="0"/>
      <w:jc w:val="left"/>
    </w:pPr>
    <w:rPr>
      <w:rFonts w:ascii="Calibri" w:hAnsi="Calibri" w:eastAsia="SimSun" w:cs="Mangal"/>
      <w:color w:val="000000"/>
      <w:spacing w:val="0"/>
      <w:sz w:val="24"/>
      <w:szCs w:val="20"/>
      <w:lang w:val="ru-RU" w:eastAsia="zh-CN" w:bidi="hi-IN"/>
    </w:rPr>
  </w:style>
  <w:style w:type="paragraph" w:styleId="31">
    <w:name w:val="TOC 3"/>
    <w:basedOn w:val="Normal"/>
    <w:link w:val="Style_13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Internetlink">
    <w:name w:val="Internet link"/>
    <w:link w:val="Style_2_ch"/>
    <w:qFormat/>
    <w:pPr>
      <w:widowControl/>
      <w:bidi w:val="0"/>
      <w:jc w:val="left"/>
    </w:pPr>
    <w:rPr>
      <w:rFonts w:ascii="Calibri" w:hAnsi="Calibri" w:eastAsia="SimSun" w:cs="Mangal"/>
      <w:color w:val="000080"/>
      <w:spacing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SimSun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0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1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Indexheading1">
    <w:name w:val="index heading"/>
    <w:basedOn w:val="Normal"/>
    <w:link w:val="Style_24_ch"/>
    <w:qFormat/>
    <w:pPr/>
    <w:rPr/>
  </w:style>
  <w:style w:type="paragraph" w:styleId="Style17">
    <w:name w:val="Subtitle"/>
    <w:basedOn w:val="Normal"/>
    <w:link w:val="Style_25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link w:val="Style_26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A43F9BECA26741098EB29ACD7C6C3BFCC4341B1B657243C610809037190A4E5F0887DD545D8C884ODa1H" TargetMode="External"/><Relationship Id="rId3" Type="http://schemas.openxmlformats.org/officeDocument/2006/relationships/hyperlink" Target="consultantplus://offline/ref=2A43F9BECA26741098EB29ACD7C6C3BFCC464FBCB35C793669510501769FFBF2F7C171D445D8C8O8a4H" TargetMode="External"/><Relationship Id="rId4" Type="http://schemas.openxmlformats.org/officeDocument/2006/relationships/hyperlink" Target="consultantplus://offline/ref=2A43F9BECA26741098EB29ACD7C6C3BFCC4148B7B35F243C6108090371O9a0H" TargetMode="External"/><Relationship Id="rId5" Type="http://schemas.openxmlformats.org/officeDocument/2006/relationships/hyperlink" Target="consultantplus://offline/ref=2A43F9BECA26741098EB29ACD7C6C3BFCC434CBDBB54243C6108090371O9a0H" TargetMode="External"/><Relationship Id="rId6" Type="http://schemas.openxmlformats.org/officeDocument/2006/relationships/hyperlink" Target="consultantplus://offline/ref=3AD16F0DD8BCB33469FFF8757943566335B4C2729BD6D22205D45F791A9FC50BE59CA572C75ED6E9p4Z0K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LibreOffice/5.3.3.2$Windows_X86_64 LibreOffice_project/3d9a8b4b4e538a85e0782bd6c2d430bafe583448</Application>
  <Pages>8</Pages>
  <Words>1361</Words>
  <Characters>9582</Characters>
  <CharactersWithSpaces>11086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2023-08-08T10:23:45Z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