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25"/>
        <w:shd w:val="clear" w:color="auto" w:fill="auto"/>
        <w:spacing w:lineRule="auto" w:line="240" w:before="0" w:after="0"/>
        <w:jc w:val="left"/>
        <w:rPr/>
      </w:pPr>
      <w:r>
        <w:rPr>
          <w:rStyle w:val="Style10"/>
          <w:bCs w:val="false"/>
          <w:color w:val="000000"/>
          <w:sz w:val="28"/>
          <w:szCs w:val="28"/>
        </w:rPr>
        <w:t>15</w:t>
      </w:r>
      <w:r>
        <w:rPr>
          <w:rStyle w:val="Style10"/>
          <w:bCs w:val="false"/>
          <w:color w:val="000000"/>
          <w:sz w:val="28"/>
          <w:szCs w:val="28"/>
        </w:rPr>
        <w:t xml:space="preserve"> декабря  2022 года                               №</w:t>
      </w:r>
      <w:r>
        <w:rPr>
          <w:rStyle w:val="Style10"/>
          <w:bCs w:val="false"/>
          <w:color w:val="000000"/>
          <w:sz w:val="28"/>
          <w:szCs w:val="28"/>
        </w:rPr>
        <w:t>131</w:t>
      </w:r>
      <w:r>
        <w:rPr>
          <w:rStyle w:val="Style10"/>
          <w:bCs w:val="false"/>
          <w:color w:val="000000"/>
          <w:sz w:val="28"/>
          <w:szCs w:val="28"/>
        </w:rPr>
        <w:t xml:space="preserve">                                   х.</w:t>
      </w:r>
      <w:r>
        <w:rPr>
          <w:rStyle w:val="Style10"/>
          <w:bCs w:val="false"/>
          <w:color w:val="000000"/>
          <w:sz w:val="28"/>
          <w:szCs w:val="28"/>
        </w:rPr>
        <w:t>Ковылкин</w:t>
      </w:r>
    </w:p>
    <w:p>
      <w:pPr>
        <w:pStyle w:val="Normal"/>
        <w:tabs>
          <w:tab w:val="left" w:pos="5103" w:leader="none"/>
        </w:tabs>
        <w:suppressAutoHyphens w:val="true"/>
        <w:spacing w:lineRule="auto" w:line="240" w:before="0" w:after="0"/>
        <w:ind w:right="5577" w:hanging="0"/>
        <w:jc w:val="both"/>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left" w:pos="5103" w:leader="none"/>
        </w:tabs>
        <w:suppressAutoHyphens w:val="true"/>
        <w:spacing w:lineRule="auto" w:line="240" w:before="0" w:after="0"/>
        <w:ind w:right="4251"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Hlk107307530"/>
      <w:bookmarkStart w:id="1" w:name="_Hlk99367791"/>
      <w:bookmarkStart w:id="2" w:name="_Hlk102037336"/>
      <w:bookmarkStart w:id="3" w:name="_Toc107917883"/>
      <w:bookmarkStart w:id="4" w:name="_Toc107917884"/>
      <w:bookmarkStart w:id="5" w:name="_Toc107917848"/>
      <w:r>
        <w:rPr>
          <w:rFonts w:ascii="Times New Roman" w:hAnsi="Times New Roman"/>
          <w:bCs/>
          <w:sz w:val="28"/>
          <w:szCs w:val="28"/>
          <w:lang w:eastAsia="ar-SA"/>
        </w:rPr>
        <w:t>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0"/>
      <w:bookmarkEnd w:id="1"/>
      <w:bookmarkEnd w:id="2"/>
      <w:bookmarkEnd w:id="3"/>
      <w:bookmarkEnd w:id="4"/>
      <w:bookmarkEnd w:id="5"/>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lang w:eastAsia="ar-SA"/>
        </w:rPr>
        <w:tab/>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6" w:name="_Hlk107308157"/>
      <w:r>
        <w:rPr>
          <w:rFonts w:ascii="Times New Roman" w:hAnsi="Times New Roman"/>
          <w:sz w:val="28"/>
          <w:szCs w:val="28"/>
        </w:rPr>
        <w:t xml:space="preserve">муниципального образования </w:t>
      </w:r>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0"/>
        <w:jc w:val="center"/>
        <w:rPr/>
      </w:pPr>
      <w:r>
        <w:rPr>
          <w:rFonts w:ascii="Times New Roman" w:hAnsi="Times New Roman"/>
          <w:b/>
          <w:bCs/>
          <w:sz w:val="28"/>
          <w:szCs w:val="28"/>
        </w:rPr>
        <w:t xml:space="preserve"> </w:t>
      </w:r>
    </w:p>
    <w:p>
      <w:pPr>
        <w:pStyle w:val="Normal"/>
        <w:suppressAutoHyphens w:val="true"/>
        <w:spacing w:lineRule="auto" w:line="240" w:before="0" w:after="0"/>
        <w:jc w:val="center"/>
        <w:rPr/>
      </w:pPr>
      <w:r>
        <w:rPr>
          <w:rFonts w:ascii="Times New Roman" w:hAnsi="Times New Roman"/>
          <w:b/>
          <w:bCs/>
          <w:sz w:val="28"/>
          <w:szCs w:val="28"/>
        </w:rPr>
        <w:t>ПОСТАНОВЛЯЮ:</w:t>
      </w:r>
      <w:r>
        <w:rPr>
          <w:rFonts w:ascii="Times New Roman" w:hAnsi="Times New Roman"/>
          <w:b/>
          <w:bCs/>
          <w:sz w:val="28"/>
          <w:szCs w:val="28"/>
          <w:lang w:eastAsia="ar-SA"/>
        </w:rPr>
        <w:t xml:space="preserve"> </w:t>
      </w:r>
    </w:p>
    <w:p>
      <w:pPr>
        <w:pStyle w:val="Normal"/>
        <w:suppressAutoHyphens w:val="true"/>
        <w:spacing w:lineRule="auto" w:line="240" w:before="0" w:after="0"/>
        <w:jc w:val="center"/>
        <w:rPr>
          <w:rFonts w:ascii="Times New Roman" w:hAnsi="Times New Roman"/>
          <w:b/>
          <w:b/>
          <w:bCs/>
          <w:sz w:val="28"/>
          <w:szCs w:val="28"/>
          <w:lang w:eastAsia="ar-SA"/>
        </w:rPr>
      </w:pPr>
      <w:r>
        <w:rPr/>
      </w:r>
    </w:p>
    <w:p>
      <w:pPr>
        <w:pStyle w:val="Normal"/>
        <w:suppressAutoHyphens w:val="true"/>
        <w:spacing w:lineRule="auto" w:line="240" w:before="0" w:after="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      </w:t>
      </w: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7" w:name="_Hlk94093005"/>
      <w:r>
        <w:rPr>
          <w:rFonts w:ascii="Times New Roman" w:hAnsi="Times New Roman"/>
          <w:color w:val="000000"/>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7"/>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xml:space="preserve">- от </w:t>
        </w:r>
        <w:r>
          <w:rPr>
            <w:rStyle w:val="Style13"/>
            <w:rFonts w:ascii="Times New Roman" w:hAnsi="Times New Roman"/>
            <w:color w:val="00000A"/>
            <w:sz w:val="28"/>
            <w:szCs w:val="28"/>
            <w:highlight w:val="white"/>
            <w:u w:val="none"/>
          </w:rPr>
          <w:t>30</w:t>
        </w:r>
        <w:r>
          <w:rPr>
            <w:rStyle w:val="Style13"/>
            <w:rFonts w:ascii="Times New Roman" w:hAnsi="Times New Roman"/>
            <w:color w:val="00000A"/>
            <w:sz w:val="28"/>
            <w:szCs w:val="28"/>
            <w:highlight w:val="white"/>
            <w:u w:val="none"/>
          </w:rPr>
          <w:t>.1</w:t>
        </w:r>
        <w:r>
          <w:rPr>
            <w:rStyle w:val="Style13"/>
            <w:rFonts w:ascii="Times New Roman" w:hAnsi="Times New Roman"/>
            <w:color w:val="00000A"/>
            <w:sz w:val="28"/>
            <w:szCs w:val="28"/>
            <w:highlight w:val="white"/>
            <w:u w:val="none"/>
          </w:rPr>
          <w:t>0</w:t>
        </w:r>
        <w:r>
          <w:rPr>
            <w:rStyle w:val="Style13"/>
            <w:rFonts w:ascii="Times New Roman" w:hAnsi="Times New Roman"/>
            <w:color w:val="00000A"/>
            <w:sz w:val="28"/>
            <w:szCs w:val="28"/>
            <w:highlight w:val="white"/>
            <w:u w:val="none"/>
          </w:rPr>
          <w:t>.201</w:t>
        </w:r>
        <w:r>
          <w:rPr>
            <w:rStyle w:val="Style13"/>
            <w:rFonts w:ascii="Times New Roman" w:hAnsi="Times New Roman"/>
            <w:color w:val="00000A"/>
            <w:sz w:val="28"/>
            <w:szCs w:val="28"/>
            <w:highlight w:val="white"/>
            <w:u w:val="none"/>
          </w:rPr>
          <w:t>8</w:t>
        </w:r>
        <w:r>
          <w:rPr>
            <w:rStyle w:val="Style13"/>
            <w:rFonts w:ascii="Times New Roman" w:hAnsi="Times New Roman"/>
            <w:color w:val="00000A"/>
            <w:sz w:val="28"/>
            <w:szCs w:val="28"/>
            <w:highlight w:val="white"/>
            <w:u w:val="none"/>
          </w:rPr>
          <w:t xml:space="preserve"> года №</w:t>
        </w:r>
      </w:hyperlink>
      <w:r>
        <w:rPr>
          <w:rFonts w:ascii="Times New Roman" w:hAnsi="Times New Roman"/>
          <w:color w:val="00000A"/>
          <w:sz w:val="28"/>
          <w:szCs w:val="28"/>
          <w:highlight w:val="white"/>
          <w:u w:val="none"/>
        </w:rPr>
        <w:t>59</w:t>
      </w:r>
      <w:r>
        <w:rPr>
          <w:rFonts w:ascii="Times New Roman" w:hAnsi="Times New Roman"/>
          <w:sz w:val="28"/>
          <w:szCs w:val="28"/>
          <w:shd w:fill="FFFFFF" w:val="clear"/>
        </w:rPr>
        <w:t>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w:t>
      </w:r>
      <w:r>
        <w:rPr>
          <w:rFonts w:ascii="Times New Roman" w:hAnsi="Times New Roman"/>
          <w:sz w:val="28"/>
          <w:szCs w:val="28"/>
        </w:rPr>
        <w:t>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328" w:type="dxa"/>
        <w:jc w:val="left"/>
        <w:tblInd w:w="6146" w:type="dxa"/>
        <w:tblBorders/>
        <w:tblCellMar>
          <w:top w:w="0" w:type="dxa"/>
          <w:left w:w="108" w:type="dxa"/>
          <w:bottom w:w="0" w:type="dxa"/>
          <w:right w:w="108" w:type="dxa"/>
        </w:tblCellMar>
        <w:tblLook w:firstRow="1" w:noVBand="0" w:lastRow="1" w:firstColumn="1" w:lastColumn="1" w:noHBand="0" w:val="01e0"/>
      </w:tblPr>
      <w:tblGrid>
        <w:gridCol w:w="4328"/>
      </w:tblGrid>
      <w:tr>
        <w:trPr/>
        <w:tc>
          <w:tcPr>
            <w:tcW w:w="4328"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 xml:space="preserve">Ковылкинского сельского поселения </w:t>
            </w:r>
          </w:p>
          <w:p>
            <w:pPr>
              <w:pStyle w:val="Normal"/>
              <w:spacing w:lineRule="auto" w:line="240" w:before="0" w:after="0"/>
              <w:rPr>
                <w:sz w:val="22"/>
                <w:szCs w:val="22"/>
              </w:rPr>
            </w:pPr>
            <w:bookmarkStart w:id="8" w:name="_GoBack"/>
            <w:bookmarkEnd w:id="8"/>
            <w:r>
              <w:rPr>
                <w:rFonts w:ascii="Times New Roman" w:hAnsi="Times New Roman"/>
                <w:sz w:val="22"/>
                <w:szCs w:val="22"/>
                <w:lang w:eastAsia="en-US"/>
              </w:rPr>
              <w:t xml:space="preserve">От </w:t>
            </w:r>
            <w:r>
              <w:rPr>
                <w:rFonts w:ascii="Times New Roman" w:hAnsi="Times New Roman"/>
                <w:sz w:val="22"/>
                <w:szCs w:val="22"/>
                <w:lang w:eastAsia="en-US"/>
              </w:rPr>
              <w:t>15</w:t>
            </w:r>
            <w:r>
              <w:rPr>
                <w:rFonts w:ascii="Times New Roman" w:hAnsi="Times New Roman"/>
                <w:sz w:val="22"/>
                <w:szCs w:val="22"/>
                <w:lang w:eastAsia="en-US"/>
              </w:rPr>
              <w:t xml:space="preserve">.12..2022г. № </w:t>
            </w:r>
            <w:r>
              <w:rPr>
                <w:rFonts w:ascii="Times New Roman" w:hAnsi="Times New Roman"/>
                <w:sz w:val="22"/>
                <w:szCs w:val="22"/>
                <w:lang w:eastAsia="en-US"/>
              </w:rPr>
              <w:t>131</w:t>
            </w:r>
          </w:p>
        </w:tc>
      </w:tr>
    </w:tbl>
    <w:p>
      <w:pPr>
        <w:pStyle w:val="Normal"/>
        <w:widowControl w:val="false"/>
        <w:overflowPunct w:val="false"/>
        <w:spacing w:lineRule="auto" w:line="240"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9" w:name="_Hlk94101541"/>
      <w:r>
        <w:rPr>
          <w:rFonts w:ascii="Times New Roman" w:hAnsi="Times New Roman"/>
          <w:sz w:val="24"/>
          <w:szCs w:val="24"/>
        </w:rPr>
        <w:t xml:space="preserve">1.1. Административный регламент </w:t>
      </w:r>
      <w:bookmarkStart w:id="10" w:name="_Hlk99377303"/>
      <w:r>
        <w:rPr>
          <w:rFonts w:ascii="Times New Roman" w:hAnsi="Times New Roman"/>
          <w:sz w:val="24"/>
          <w:szCs w:val="24"/>
        </w:rPr>
        <w:t>предоставления муниципальной услуги "</w:t>
      </w:r>
      <w:bookmarkStart w:id="11" w:name="_Hlk99368095"/>
      <w:r>
        <w:rPr>
          <w:rFonts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1"/>
      <w:r>
        <w:rPr>
          <w:rFonts w:ascii="Times New Roman" w:hAnsi="Times New Roman"/>
          <w:sz w:val="24"/>
          <w:szCs w:val="24"/>
        </w:rPr>
        <w:t>"</w:t>
      </w:r>
      <w:bookmarkEnd w:id="9"/>
      <w:bookmarkEnd w:id="10"/>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eastAsia="Calibri"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12" w:name="_Hlk99370622"/>
      <w:r>
        <w:rPr>
          <w:rFonts w:ascii="Times New Roman" w:hAnsi="Times New Roman"/>
          <w:bCs/>
          <w:sz w:val="24"/>
          <w:szCs w:val="24"/>
          <w:lang w:bidi="ru-RU"/>
        </w:rPr>
        <w:t xml:space="preserve">Ковылкинского сельского поселения </w:t>
      </w:r>
      <w:bookmarkEnd w:id="12"/>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владеющие и пользующиеся земельными участками на праве постоянного (бессрочного) пользования или на праве пожизненного наследуемого владения земельным участком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b/>
          <w:sz w:val="24"/>
          <w:szCs w:val="24"/>
        </w:rPr>
        <w:t xml:space="preserve"> </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3" w:name="_Hlk99370069"/>
      <w:r>
        <w:rPr>
          <w:sz w:val="24"/>
          <w:szCs w:val="24"/>
        </w:rPr>
        <w:t>I</w:t>
      </w:r>
      <w:bookmarkEnd w:id="13"/>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4" w:name="_Hlk107311549"/>
      <w:r>
        <w:rPr>
          <w:rFonts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4"/>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органы местного самоуправления, региональный или муниципальный архив (в случае превышения сроков хранения документа в архиве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 месяц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об отказе от права на земельный участок (далее - заявление), оформленное согласно приложению 1, 2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2.8.4. Документы, удостоверяющие права на землю: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свидетельство о праве бессрочного (постоянного) пользования землей;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свидетельство о пожизненном наследуемом владении земельным участком.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В случае их отсутствия - копия решения органа местного самоуправления о предоставлении земельного участка.</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2.8.5.</w:t>
      </w:r>
      <w:r>
        <w:rPr>
          <w:rFonts w:ascii="Times New Roman" w:hAnsi="Times New Roman"/>
          <w:sz w:val="24"/>
          <w:szCs w:val="24"/>
        </w:rPr>
        <w:t xml:space="preserve"> </w:t>
      </w:r>
      <w:r>
        <w:rPr>
          <w:rFonts w:ascii="Times New Roman" w:hAnsi="Times New Roman"/>
          <w:bCs/>
          <w:sz w:val="24"/>
          <w:szCs w:val="24"/>
        </w:rPr>
        <w:t>Свидетельство о государственной регистрации юридического лица (для юридических лиц) или выписка Единого государственного реестра юридических лиц (ЕГРЮЛ) (для юридических лиц).</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2.8.6. Документ, подтверждающий согласие органа, создавшего юридическое лицо, или иного действующего от имени учредителя органа на отказ от прав на земельный участок (оригинал, в случае подачи заявления в электронном виде - электронный образ документа) - для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письмо соответствующего органа.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выписка из ЕГРН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органа местного самоуправления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наличие в документах, необходимых для предоставления муниципальной услуги, противоречивых, недостоверных или неполных сведений.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Pr>
          <w:rFonts w:ascii="Times New Roman" w:hAnsi="Times New Roman"/>
          <w:sz w:val="24"/>
          <w:szCs w:val="24"/>
        </w:rPr>
        <w:t>Уполномоченного органа</w:t>
      </w:r>
      <w:bookmarkEnd w:id="15"/>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6" w:name="p28"/>
      <w:bookmarkEnd w:id="16"/>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7" w:name="_Hlk102041734"/>
      <w:bookmarkEnd w:id="17"/>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15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в пределах срока, установленного пунктом 2.6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8" w:name="_Hlk99376589"/>
      <w:bookmarkEnd w:id="18"/>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19" w:name="_Hlk94101634"/>
      <w:bookmarkStart w:id="20" w:name="_Hlk94101634"/>
      <w:bookmarkEnd w:id="20"/>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1" w:name="_Hlk941016341"/>
      <w:bookmarkStart w:id="22" w:name="_Hlk941016341"/>
      <w:bookmarkEnd w:id="22"/>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bookmarkStart w:id="23" w:name="_Hlk98148241"/>
      <w:bookmarkEnd w:id="23"/>
      <w:r>
        <w:rPr>
          <w:rFonts w:ascii="Times New Roman" w:hAnsi="Times New Roman"/>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Главе администрации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 кого: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(фамилия, имя, отчество заявителя;  наименование организации, 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18"/>
          <w:szCs w:val="1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об отказе от права 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ИНН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 номер __________________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______________ номер _________________ дата выдачи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дата выдачи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ОГРН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местонахождения юридического лица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юридический адрес (для юридических лиц)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места жительства (регистрации) заявителя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Прошу  Вас прекратить право постоянного (бессрочного) пользования земельным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для (под)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предоставленного на основании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(правовой акт исполнительного органа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власти или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1.1. Площадь 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1.2.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1.3.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 Сведения о здании, сооружении, находящемся на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2.1. Объект права (наименование, литер, номера комнат)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2.2. Площадь 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2.3.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2.4.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автоматизированном  режиме,  включая принятие решений на их основе, в целяхпредоставления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 кого: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(фамилия, имя, отчество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об отказе от права пожизненного наследуемого владения,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 номер __________________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(доверенности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места жительства (регистрации) заявителя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Прошу   Вас   прекратить   право  пожизненного  наследуемого  владения,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для (под)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предоставленного на основании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(правовой акт исполнительного органа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власти или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1.1. Площадь 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1.2.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1.3.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4" w:name="_Toc486608800"/>
      <w:bookmarkEnd w:id="24"/>
      <w:r>
        <w:rPr>
          <w:rFonts w:ascii="Times New Roman" w:hAnsi="Times New Roman"/>
          <w:sz w:val="24"/>
          <w:szCs w:val="24"/>
        </w:rPr>
        <w:t xml:space="preserve"> </w:t>
      </w:r>
    </w:p>
    <w:sectPr>
      <w:type w:val="nextPage"/>
      <w:pgSz w:w="11906" w:h="16838"/>
      <w:pgMar w:left="907" w:right="340" w:header="0" w:top="340" w:footer="0" w:bottom="3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198.doc"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LibreOffice/5.3.3.2$Windows_X86_64 LibreOffice_project/3d9a8b4b4e538a85e0782bd6c2d430bafe583448</Application>
  <Pages>24</Pages>
  <Words>9624</Words>
  <Characters>76747</Characters>
  <CharactersWithSpaces>87417</CharactersWithSpaces>
  <Paragraphs>584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2022-12-16T15:52:43Z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