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bCs/>
          <w:sz w:val="28"/>
          <w:szCs w:val="24"/>
        </w:rPr>
      </w:pPr>
      <w:r>
        <w:rPr>
          <w:rFonts w:ascii="Times New Roman" w:hAnsi="Times New Roman"/>
          <w:b/>
          <w:bCs/>
          <w:sz w:val="28"/>
          <w:szCs w:val="24"/>
        </w:rPr>
        <w:t xml:space="preserve">                   </w:t>
      </w: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Style w:val="21"/>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pPr>
      <w:r>
        <w:rPr>
          <w:rStyle w:val="Style10"/>
          <w:b/>
          <w:sz w:val="28"/>
          <w:szCs w:val="28"/>
        </w:rPr>
        <w:t>00.00.2022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_</w:t>
      </w:r>
      <w:r>
        <w:rPr>
          <w:rStyle w:val="21"/>
          <w:rFonts w:ascii="Times New Roman" w:hAnsi="Times New Roman"/>
          <w:b w:val="false"/>
          <w:bCs w:val="false"/>
          <w:sz w:val="28"/>
          <w:szCs w:val="28"/>
        </w:rPr>
        <w:t>_____</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 w:val="left" w:pos="6096" w:leader="none"/>
        </w:tabs>
        <w:suppressAutoHyphens w:val="true"/>
        <w:spacing w:lineRule="auto" w:line="240" w:before="0" w:after="0"/>
        <w:ind w:right="4251" w:hanging="0"/>
        <w:jc w:val="both"/>
        <w:rPr/>
      </w:pPr>
      <w:r>
        <w:rPr>
          <w:rFonts w:ascii="Times New Roman" w:hAnsi="Times New Roman"/>
          <w:bCs/>
          <w:sz w:val="28"/>
          <w:lang w:eastAsia="ar-SA"/>
        </w:rPr>
        <w:t>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0" w:name="_Hlk107308157"/>
      <w:r>
        <w:rPr>
          <w:rFonts w:ascii="Times New Roman" w:hAnsi="Times New Roman"/>
          <w:sz w:val="28"/>
          <w:szCs w:val="28"/>
        </w:rPr>
        <w:t xml:space="preserve">муниципального образования </w:t>
      </w:r>
      <w:bookmarkStart w:id="1" w:name="_Hlk94090791"/>
      <w:bookmarkStart w:id="2" w:name="_Hlk94089191"/>
      <w:bookmarkEnd w:id="0"/>
      <w:bookmarkEnd w:id="1"/>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suppressAutoHyphens w:val="true"/>
        <w:spacing w:lineRule="auto" w:line="240" w:before="0" w:after="0"/>
        <w:jc w:val="both"/>
        <w:rPr/>
      </w:pPr>
      <w:r>
        <w:rPr>
          <w:rStyle w:val="Style14"/>
          <w:rFonts w:ascii="Times New Roman" w:hAnsi="Times New Roman"/>
          <w:color w:val="000000"/>
          <w:sz w:val="28"/>
          <w:szCs w:val="28"/>
        </w:rPr>
        <w:t xml:space="preserve">   </w:t>
      </w:r>
      <w:r>
        <w:rPr>
          <w:rStyle w:val="Style14"/>
          <w:rFonts w:ascii="Times New Roman" w:hAnsi="Times New Roman"/>
          <w:color w:val="000000"/>
          <w:sz w:val="28"/>
          <w:szCs w:val="28"/>
        </w:rPr>
        <w:t>1.Утвердить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r>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3"/>
      <w:r>
        <w:rPr>
          <w:rFonts w:ascii="Times New Roman" w:hAnsi="Times New Roman"/>
          <w:sz w:val="28"/>
          <w:szCs w:val="28"/>
        </w:rPr>
        <w:t>»</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2.Признать утратившим силу постановление Администрации Ковылкинскогосельского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rPr>
        <w:t xml:space="preserve">- </w:t>
      </w:r>
      <w:hyperlink r:id="rId2">
        <w:r>
          <w:rPr>
            <w:rStyle w:val="Style13"/>
            <w:rFonts w:ascii="Times New Roman" w:hAnsi="Times New Roman"/>
            <w:color w:val="00000A"/>
            <w:sz w:val="28"/>
            <w:szCs w:val="28"/>
            <w:highlight w:val="white"/>
            <w:u w:val="none"/>
          </w:rPr>
          <w:t>от</w:t>
        </w:r>
      </w:hyperlink>
      <w:r>
        <w:rPr>
          <w:rFonts w:ascii="Times New Roman" w:hAnsi="Times New Roman"/>
          <w:sz w:val="28"/>
          <w:szCs w:val="28"/>
          <w:shd w:fill="FFFFFF" w:val="clear"/>
        </w:rPr>
        <w:t xml:space="preserve"> 02.12.2015г. №79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rPr>
        <w:b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rFonts w:ascii="Times New Roman" w:hAnsi="Times New Roman"/>
                <w:sz w:val="28"/>
                <w:szCs w:val="28"/>
                <w:lang w:eastAsia="en-US"/>
              </w:rPr>
            </w:pPr>
            <w:r>
              <w:rPr>
                <w:rFonts w:ascii="Times New Roman" w:hAnsi="Times New Roman"/>
                <w:sz w:val="24"/>
                <w:szCs w:val="24"/>
                <w:lang w:eastAsia="en-US"/>
              </w:rPr>
              <w:t>от __.__.2022г. № ________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«Заключение договоров аренды  муниципального имущества (за исключением земельных участков) на новый срок»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4"/>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r>
        <w:rPr>
          <w:rFonts w:ascii="Times New Roman" w:hAnsi="Times New Roman"/>
          <w:bCs/>
          <w:sz w:val="28"/>
          <w:szCs w:val="28"/>
          <w:lang w:bidi="ru-RU"/>
        </w:rPr>
        <w:t>Ковылкинскогосельского поселения</w:t>
      </w:r>
      <w:r>
        <w:rPr>
          <w:rFonts w:ascii="Times New Roman" w:hAnsi="Times New Roman"/>
          <w:sz w:val="28"/>
          <w:szCs w:val="28"/>
          <w:lang w:bidi="ru-RU"/>
        </w:rPr>
        <w:t xml:space="preserve"> (далее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заключившие договор аренды муниципального имущества</w:t>
      </w:r>
      <w:r>
        <w:rPr>
          <w:rFonts w:ascii="Times New Roman" w:hAnsi="Times New Roman"/>
          <w:sz w:val="24"/>
          <w:szCs w:val="24"/>
        </w:rPr>
        <w:t xml:space="preserve"> </w:t>
      </w:r>
      <w:r>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 (далее – заявитель).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Normal"/>
        <w:spacing w:lineRule="auto" w:line="240" w:before="0" w:after="0"/>
        <w:ind w:firstLine="540"/>
        <w:jc w:val="both"/>
        <w:rPr/>
      </w:pPr>
      <w:r>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3">
        <w:r>
          <w:rPr>
            <w:rStyle w:val="Style13"/>
            <w:rFonts w:ascii="Times New Roman" w:hAnsi="Times New Roman"/>
            <w:color w:val="000000" w:themeColor="text1"/>
            <w:sz w:val="28"/>
            <w:szCs w:val="28"/>
          </w:rPr>
          <w:t>законодательством</w:t>
        </w:r>
      </w:hyperlink>
      <w:r>
        <w:rPr>
          <w:rFonts w:ascii="Times New Roman" w:hAnsi="Times New Roman"/>
          <w:color w:val="000000" w:themeColor="text1"/>
          <w:sz w:val="28"/>
          <w:szCs w:val="28"/>
        </w:rPr>
        <w:t>,</w:t>
      </w:r>
      <w:r>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pPr>
        <w:pStyle w:val="Normal"/>
        <w:widowControl w:val="fals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sz w:val="28"/>
          <w:szCs w:val="28"/>
        </w:rPr>
        <w:t xml:space="preserve">: </w:t>
      </w:r>
      <w:r>
        <w:rPr>
          <w:rFonts w:ascii="Times New Roman" w:hAnsi="Times New Roman"/>
          <w:b w:val="false"/>
          <w:bCs w:val="false"/>
          <w:sz w:val="28"/>
          <w:szCs w:val="28"/>
          <w:u w:val="single"/>
          <w:lang w:bidi="ru-RU"/>
        </w:rPr>
        <w:t>(</w:t>
      </w:r>
      <w:hyperlink r:id="rId4">
        <w:r>
          <w:rPr>
            <w:rStyle w:val="Style13"/>
            <w:rFonts w:ascii="Times New Roman" w:hAnsi="Times New Roman"/>
            <w:b w:val="false"/>
            <w:bCs w:val="false"/>
            <w:sz w:val="28"/>
            <w:szCs w:val="28"/>
            <w:lang w:bidi="ru-RU"/>
          </w:rPr>
          <w:t>https://kovylkinskoe-sp.ru/</w:t>
        </w:r>
      </w:hyperlink>
      <w:r>
        <w:rPr>
          <w:rFonts w:ascii="Times New Roman" w:hAnsi="Times New Roman"/>
          <w:b w:val="false"/>
          <w:bCs w:val="false"/>
          <w:sz w:val="28"/>
          <w:szCs w:val="28"/>
          <w:u w:val="single"/>
          <w:lang w:bidi="ru-RU"/>
        </w:rPr>
        <w:t>)</w:t>
      </w:r>
      <w:r>
        <w:rPr>
          <w:rFonts w:ascii="Times New Roman" w:hAnsi="Times New Roman"/>
          <w:b w:val="false"/>
          <w:bCs w:val="false"/>
          <w:sz w:val="28"/>
          <w:szCs w:val="28"/>
          <w:lang w:bidi="ru-RU"/>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принятие решения Уполномоченного органа о заключении договора аренды муниципального имущества (за исключением земельных участков) на новый срок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подготовка договора аренды муниципального имущества (за исключением земельных участков) – 7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документ, подтверждающие право на предоставление муниципального имущества в аренду, без проведения торгов. </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6) лицензия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7)  лицензия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bCs/>
          <w:sz w:val="28"/>
          <w:szCs w:val="28"/>
        </w:rPr>
      </w:pPr>
      <w:bookmarkStart w:id="9" w:name="_Hlk107318133"/>
      <w:bookmarkEnd w:id="9"/>
      <w:r>
        <w:rPr>
          <w:rFonts w:ascii="Times New Roman" w:hAnsi="Times New Roman"/>
          <w:bCs/>
          <w:sz w:val="28"/>
          <w:szCs w:val="28"/>
        </w:rPr>
        <w:t>8) выписка из ЕГРН об объекте недвижимости (об испрашиваемом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6">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принятие в установленном порядке решения, предусматривающего иной порядок распоряжения таким имуществом;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pPr>
        <w:pStyle w:val="Normal"/>
        <w:widowControl w:val="false"/>
        <w:spacing w:lineRule="auto" w:line="240" w:before="0" w:after="0"/>
        <w:ind w:firstLine="567"/>
        <w:jc w:val="both"/>
        <w:rPr/>
      </w:pPr>
      <w:r>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Pr>
          <w:rFonts w:ascii="Times New Roman" w:hAnsi="Times New Roman"/>
          <w:color w:val="000000" w:themeColor="text1"/>
          <w:sz w:val="28"/>
          <w:szCs w:val="28"/>
        </w:rPr>
        <w:t>(</w:t>
      </w:r>
      <w:hyperlink r:id="rId9">
        <w:r>
          <w:rPr>
            <w:rStyle w:val="Style13"/>
            <w:rFonts w:ascii="Times New Roman" w:hAnsi="Times New Roman"/>
            <w:color w:val="000000" w:themeColor="text1"/>
            <w:sz w:val="28"/>
            <w:szCs w:val="28"/>
            <w:u w:val="none"/>
          </w:rPr>
          <w:t>часть 1 статьи 17.1</w:t>
        </w:r>
      </w:hyperlink>
      <w:r>
        <w:rPr>
          <w:rFonts w:ascii="Times New Roman" w:hAnsi="Times New Roman"/>
          <w:color w:val="000000" w:themeColor="text1"/>
          <w:sz w:val="28"/>
          <w:szCs w:val="28"/>
        </w:rPr>
        <w:t xml:space="preserve"> Федерального закона от 26.07.2006 N 135-ФЗ "О защите конкуренции".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0" w:name="_Hlk105497659"/>
      <w:r>
        <w:rPr>
          <w:rFonts w:ascii="Times New Roman" w:hAnsi="Times New Roman"/>
          <w:sz w:val="28"/>
          <w:szCs w:val="28"/>
        </w:rPr>
        <w:t>Уполномоченного органа</w:t>
      </w:r>
      <w:bookmarkEnd w:id="10"/>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0">
        <w:r>
          <w:rPr>
            <w:rStyle w:val="Style13"/>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 xml:space="preserve">20 настоящего </w:t>
      </w:r>
      <w:r>
        <w:rPr>
          <w:rFonts w:ascii="Times New Roman" w:hAnsi="Times New Roman"/>
          <w:sz w:val="28"/>
          <w:szCs w:val="28"/>
        </w:rPr>
        <w:t>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аренды муниципального имущества (за исключением земельных участков);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аренды муниципального имущества (за исключением земельных участков);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pPr>
        <w:pStyle w:val="1"/>
        <w:rPr/>
      </w:pPr>
      <w:r>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bookmarkStart w:id="12" w:name="_GoBack"/>
      <w:r>
        <w:rPr>
          <w:rFonts w:ascii="Times New Roman" w:hAnsi="Times New Roman"/>
          <w:sz w:val="28"/>
          <w:szCs w:val="28"/>
        </w:rPr>
        <w:t>Ковылкинскогосельского поселения Тацинского района Ростовской области</w:t>
      </w:r>
      <w:bookmarkEnd w:id="12"/>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5" w:name="_Hlk941016341"/>
      <w:bookmarkStart w:id="16" w:name="_Hlk941016341"/>
      <w:bookmarkEnd w:id="16"/>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w:t>
      </w:r>
    </w:p>
    <w:p>
      <w:pPr>
        <w:pStyle w:val="Normal"/>
        <w:spacing w:lineRule="auto" w:line="240" w:before="0" w:after="0"/>
        <w:ind w:left="5670" w:hanging="0"/>
        <w:rPr>
          <w:rFonts w:ascii="Times New Roman" w:hAnsi="Times New Roman"/>
          <w:sz w:val="24"/>
          <w:szCs w:val="24"/>
        </w:rPr>
      </w:pPr>
      <w:bookmarkStart w:id="17" w:name="_Hlk98148241"/>
      <w:bookmarkEnd w:id="17"/>
      <w:r>
        <w:rPr>
          <w:rFonts w:ascii="Times New Roman" w:hAnsi="Times New Roman"/>
          <w:sz w:val="24"/>
          <w:szCs w:val="24"/>
        </w:rPr>
        <w:t xml:space="preserve">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 полное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организационно-правовая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форма, сведения о государственной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регистрации; для физических лиц - фамилия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имя, отчество,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18" w:name="_Toc486608800"/>
      <w:bookmarkEnd w:id="18"/>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заключении договора аренды муниципального 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 исключением земельных участков) на новый срок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от_________________________________________________________________________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 полное наименование, организационно-правовая форма,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физических лиц - ФИО, 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заявителя: 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 место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заключить договор аренды муниципального имущества____________________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имущества, N комнат на поэтажном плане, площадь,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протяженность или другие конкретизирующие объект характеристики)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использования в целях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(указывается цель использования арендуемого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имущества)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срок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Ранее  вышеуказанный(ые)  объект(ы)  был(и)  предоставлен(ы)  на  основании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договора аренды от __ _______ ____ г. N 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ПРИЛОЖЕНИЕ: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5800" w:type="dxa"/>
        <w:jc w:val="left"/>
        <w:tblInd w:w="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691"/>
        <w:gridCol w:w="2108"/>
      </w:tblGrid>
      <w:tr>
        <w:trPr/>
        <w:tc>
          <w:tcPr>
            <w:tcW w:w="36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w:t>
            </w:r>
          </w:p>
        </w:tc>
        <w:tc>
          <w:tcPr>
            <w:tcW w:w="21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w:t>
            </w:r>
          </w:p>
        </w:tc>
        <w:tc>
          <w:tcPr>
            <w:tcW w:w="21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69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w:t>
            </w:r>
          </w:p>
        </w:tc>
        <w:tc>
          <w:tcPr>
            <w:tcW w:w="21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Представленные  мной  документы  и  сведения,  указанные  в  заявлении,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Федеральным  </w:t>
      </w:r>
      <w:hyperlink r:id="rId17">
        <w:r>
          <w:rPr>
            <w:rStyle w:val="Style13"/>
            <w:rFonts w:cs="Courier New" w:ascii="Courier New" w:hAnsi="Courier New"/>
            <w:color w:val="0000FF"/>
            <w:sz w:val="20"/>
            <w:szCs w:val="20"/>
            <w:u w:val="single"/>
          </w:rPr>
          <w:t>законом</w:t>
        </w:r>
      </w:hyperlink>
      <w:r>
        <w:rPr>
          <w:rFonts w:cs="Courier New" w:ascii="Courier New" w:hAnsi="Courier New"/>
          <w:sz w:val="20"/>
          <w:szCs w:val="20"/>
        </w:rPr>
        <w:t xml:space="preserve">  от  27.07.2006  N 152-ФЗ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даю  согласие  на  обработку  (в  том числе на сбор,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использование, систематизацию, накопление, хранение, уточнение, обновление,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изменение,   распространение,    передачу,    обезличивание,   блокирование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 уничтожение) моих персональных данных.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6.docx" TargetMode="External"/><Relationship Id="rId3" Type="http://schemas.openxmlformats.org/officeDocument/2006/relationships/hyperlink" Target="https://login.consultant.ru/link/?req=doc&amp;base=LAW&amp;n=389729&amp;dst=100017&amp;field=134&amp;date=12.08.2022" TargetMode="External"/><Relationship Id="rId4" Type="http://schemas.openxmlformats.org/officeDocument/2006/relationships/hyperlink" Target="https://kovylkinskoe-sp.ru/"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6" Type="http://schemas.openxmlformats.org/officeDocument/2006/relationships/hyperlink" Target="consultantplus://offline/ref=40DCD611032706BCD6B5E646400BFA920ED9FA9B15CFD7BBEA981C1CF20BBD8CA6656B79E9B51A6D2B3845EA8679378686545414EEp7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consultantplus://offline/ref=40DCD611032706BCD6B5E646400BFA920ED9FA9B15CFD7BBEA981C1CF20BBD8CA6656B7CEABE4D396D661CB9C7323B869D485517F1B8F6FBE7p1J" TargetMode="External"/><Relationship Id="rId9" Type="http://schemas.openxmlformats.org/officeDocument/2006/relationships/hyperlink" Target="https://login.consultant.ru/link/?req=doc&amp;base=LAW&amp;n=419218&amp;dst=100600&amp;field=134&amp;date=12.08.2022" TargetMode="External"/><Relationship Id="rId10"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6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ate=12.08.2022" TargetMode="Externa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Application>LibreOffice/5.3.3.2$Windows_X86_64 LibreOffice_project/3d9a8b4b4e538a85e0782bd6c2d430bafe583448</Application>
  <Pages>30</Pages>
  <Words>9059</Words>
  <Characters>71335</Characters>
  <CharactersWithSpaces>81139</CharactersWithSpaces>
  <Paragraphs>511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2022-08-12T06:14:00Z</dcterms:created>
  <dc:creator>Inna Anatolievna</dc:creator>
  <dc:description/>
  <dc:language>ru-RU</dc:language>
  <cp:lastModifiedBy/>
  <cp:lastPrinted>2021-10-06T06:48:00Z</cp:lastPrinted>
  <dcterms:modified xsi:type="dcterms:W3CDTF">2022-11-01T15:15:38Z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