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227" w:type="dxa"/>
        <w:jc w:val="left"/>
        <w:tblInd w:w="302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7"/>
      </w:tblGrid>
      <w:tr>
        <w:trPr/>
        <w:tc>
          <w:tcPr>
            <w:tcW w:w="92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0"/>
          <w:sz w:val="28"/>
          <w:szCs w:val="28"/>
        </w:rPr>
        <w:t>01</w:t>
      </w:r>
      <w:r>
        <w:rPr>
          <w:bCs/>
          <w:color w:val="00000A"/>
          <w:sz w:val="28"/>
          <w:szCs w:val="28"/>
        </w:rPr>
        <w:t xml:space="preserve"> июня 2021г                                 № 26-б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4650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</w:tblGrid>
      <w:tr>
        <w:trPr>
          <w:trHeight w:val="1185" w:hRule="atLeast"/>
        </w:trPr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left" w:pos="8505" w:leader="none"/>
              </w:tabs>
              <w:suppressAutoHyphens w:val="true"/>
              <w:rPr/>
            </w:pPr>
            <w:r>
              <w:rPr>
                <w:rFonts w:eastAsia="Lucida Sans Unicode" w:cs="Tahoma"/>
                <w:sz w:val="28"/>
                <w:szCs w:val="28"/>
                <w:lang w:eastAsia="hi-IN" w:bidi="hi-IN"/>
              </w:rPr>
              <w:t xml:space="preserve">Об утверждении реестра </w:t>
            </w:r>
          </w:p>
          <w:p>
            <w:pPr>
              <w:pStyle w:val="Normal"/>
              <w:widowControl w:val="false"/>
              <w:tabs>
                <w:tab w:val="left" w:pos="8505" w:leader="none"/>
              </w:tabs>
              <w:suppressAutoHyphens w:val="true"/>
              <w:rPr/>
            </w:pPr>
            <w:r>
              <w:rPr>
                <w:rFonts w:eastAsia="Lucida Sans Unicode" w:cs="Tahoma"/>
                <w:sz w:val="28"/>
                <w:szCs w:val="28"/>
                <w:lang w:eastAsia="hi-IN" w:bidi="hi-IN"/>
              </w:rPr>
              <w:t>зеленых насаждений на территории Ковылкинского</w:t>
            </w:r>
            <w:r>
              <w:rPr>
                <w:bCs/>
                <w:color w:val="00000A"/>
                <w:sz w:val="28"/>
                <w:szCs w:val="28"/>
                <w:lang w:eastAsia="zh-CN"/>
              </w:rPr>
              <w:t xml:space="preserve"> сельского поселения 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rFonts w:eastAsia="Lucida Sans Unicode" w:cs="Tahoma"/>
          <w:color w:val="000000"/>
          <w:sz w:val="28"/>
          <w:szCs w:val="28"/>
          <w:lang w:eastAsia="zh-CN" w:bidi="hi-IN"/>
        </w:rPr>
        <w:t xml:space="preserve">     </w:t>
      </w:r>
      <w:r>
        <w:rPr>
          <w:rFonts w:eastAsia="Lucida Sans Unicode" w:cs="Tahoma"/>
          <w:color w:val="000000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fill="FFFFFF" w:val="clear"/>
          <w:lang w:eastAsia="zh-CN"/>
        </w:rPr>
        <w:t xml:space="preserve"> Уставом муниципального образования «Ковылкинское сельское поселение»,  распоряжения</w:t>
      </w:r>
      <w:r>
        <w:rPr>
          <w:rFonts w:eastAsia="Lucida Sans Unicode" w:cs="Tahoma"/>
          <w:color w:val="000000"/>
          <w:sz w:val="28"/>
          <w:szCs w:val="28"/>
          <w:lang w:eastAsia="hi-IN" w:bidi="hi-IN"/>
        </w:rPr>
        <w:t xml:space="preserve"> администрации Ковылкинского сельского поселения от 07.04.2021г. № 9 «О проведении инвентаризации зеленых насаждений на территории Ковылкинского сельского поселения», в целях эффективного содержания и охраны зеленых насаждений, осуществления контроля за состоянием и использованием зеленых насаждений, своевременного выявления аварийно-опасных деревьев, сухостойных деревьев и кустарников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/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widowControl w:val="false"/>
        <w:suppressAutoHyphens w:val="true"/>
        <w:bidi w:val="0"/>
        <w:spacing w:lineRule="auto" w:line="240" w:before="102" w:after="102"/>
        <w:ind w:right="-285" w:hanging="0"/>
        <w:contextualSpacing/>
        <w:jc w:val="both"/>
        <w:rPr/>
      </w:pPr>
      <w:r>
        <w:rPr>
          <w:rFonts w:eastAsia="Lucida Sans Unicode" w:cs="Tahoma"/>
          <w:color w:val="00000A"/>
          <w:sz w:val="28"/>
          <w:szCs w:val="28"/>
          <w:lang w:eastAsia="hi-IN" w:bidi="hi-IN"/>
        </w:rPr>
        <w:t xml:space="preserve">1.Утвердить реестр зеленых насаждений на территории Ковылкинского сельского поселения </w:t>
      </w:r>
      <w:r>
        <w:rPr>
          <w:rFonts w:eastAsia="Lucida Sans Unicode"/>
          <w:color w:val="00000A"/>
          <w:sz w:val="28"/>
          <w:szCs w:val="28"/>
          <w:lang w:eastAsia="zh-CN"/>
        </w:rPr>
        <w:t>(приложению № 1).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102" w:after="102"/>
        <w:ind w:right="-285" w:hanging="0"/>
        <w:contextualSpacing/>
        <w:jc w:val="both"/>
        <w:rPr/>
      </w:pPr>
      <w:r>
        <w:rPr>
          <w:color w:val="00000A"/>
          <w:sz w:val="28"/>
          <w:szCs w:val="28"/>
          <w:lang w:eastAsia="zh-CN"/>
        </w:rPr>
        <w:t>2.  Контроль за исполнением настоящего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/>
      </w:pPr>
      <w:r>
        <w:rPr>
          <w:color w:val="00000A"/>
          <w:sz w:val="28"/>
          <w:szCs w:val="20"/>
          <w:lang w:eastAsia="zh-CN"/>
        </w:rPr>
        <w:t xml:space="preserve">Ковылкинского 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сельского поселения                                      Т.В. Лачугина</w:t>
      </w:r>
    </w:p>
    <w:p>
      <w:pPr>
        <w:pStyle w:val="ListParagraph"/>
        <w:tabs>
          <w:tab w:val="left" w:pos="709" w:leader="none"/>
          <w:tab w:val="left" w:pos="1276" w:leader="none"/>
        </w:tabs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hanging="0"/>
        <w:jc w:val="right"/>
        <w:rPr/>
      </w:pPr>
      <w:r>
        <w:rPr>
          <w:sz w:val="20"/>
          <w:szCs w:val="20"/>
        </w:rPr>
        <w:t xml:space="preserve">               </w:t>
      </w:r>
    </w:p>
    <w:p>
      <w:pPr>
        <w:sectPr>
          <w:type w:val="nextPage"/>
          <w:pgSz w:w="11906" w:h="16838"/>
          <w:pgMar w:left="102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left="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jc w:val="right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Форма№2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в составе Положения о порядке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создания и ведения реестра зеленых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насаждений на территории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Ковылкинского сельского поселения </w:t>
      </w:r>
    </w:p>
    <w:p>
      <w:pPr>
        <w:pStyle w:val="ConsPlusNormal1"/>
        <w:ind w:hanging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Сводный реестр зеленых насаждений в населенных пунктах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Ковылкинского сельского поселения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  <w:vertAlign w:val="subscript"/>
        </w:rPr>
      </w:pPr>
      <w:r>
        <w:rPr>
          <w:rFonts w:cs="Times New Roman" w:ascii="Times New Roman" w:hAnsi="Times New Roman"/>
          <w:b/>
          <w:sz w:val="24"/>
          <w:szCs w:val="24"/>
          <w:vertAlign w:val="subscript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по состоянию  на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01.06.2021 года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tbl>
      <w:tblPr>
        <w:tblpPr w:bottomFromText="200" w:horzAnchor="margin" w:leftFromText="180" w:rightFromText="180" w:tblpX="0" w:tblpXSpec="center" w:tblpY="231" w:topFromText="0" w:vertAnchor="text"/>
        <w:tblW w:w="15600" w:type="dxa"/>
        <w:jc w:val="left"/>
        <w:tblInd w:w="3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22" w:type="dxa"/>
          <w:bottom w:w="0" w:type="dxa"/>
          <w:right w:w="70" w:type="dxa"/>
        </w:tblCellMar>
        <w:tblLook w:val="04a0"/>
      </w:tblPr>
      <w:tblGrid>
        <w:gridCol w:w="675"/>
        <w:gridCol w:w="1771"/>
        <w:gridCol w:w="1828"/>
        <w:gridCol w:w="2025"/>
        <w:gridCol w:w="1349"/>
        <w:gridCol w:w="1696"/>
        <w:gridCol w:w="1607"/>
        <w:gridCol w:w="1"/>
        <w:gridCol w:w="1153"/>
        <w:gridCol w:w="1111"/>
        <w:gridCol w:w="1274"/>
        <w:gridCol w:w="1108"/>
      </w:tblGrid>
      <w:tr>
        <w:trPr>
          <w:trHeight w:val="1134" w:hRule="atLeast"/>
          <w:cantSplit w:val="true"/>
        </w:trPr>
        <w:tc>
          <w:tcPr>
            <w:tcW w:w="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N</w:t>
            </w:r>
          </w:p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17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Наименование озелененной территории</w:t>
            </w:r>
          </w:p>
        </w:tc>
        <w:tc>
          <w:tcPr>
            <w:tcW w:w="18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Площадь озелененной территории, кв.м.</w:t>
            </w:r>
          </w:p>
        </w:tc>
        <w:tc>
          <w:tcPr>
            <w:tcW w:w="66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Краткая характеристика озелененных территорий   </w:t>
            </w:r>
          </w:p>
        </w:tc>
        <w:tc>
          <w:tcPr>
            <w:tcW w:w="46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Видовой состав зеленых насаждений от общего  числа видов, шт.</w:t>
            </w:r>
          </w:p>
        </w:tc>
      </w:tr>
      <w:tr>
        <w:trPr>
          <w:trHeight w:val="1884" w:hRule="atLeast"/>
          <w:cantSplit w:val="true"/>
        </w:trPr>
        <w:tc>
          <w:tcPr>
            <w:tcW w:w="67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rFonts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177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rFonts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182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rFonts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деревья, шт.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кустарники,</w:t>
              <w:br/>
              <w:t>шт.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травянистая  растительность, </w:t>
              <w:br/>
              <w:t>кв. м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редкие виды    </w:t>
              <w:br/>
              <w:t xml:space="preserve">растений (грибы, кустарники и  т.д.),  указать </w:t>
              <w:br/>
              <w:t>какие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хвойные деревья, </w:t>
              <w:br/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лиственные деревья</w:t>
              <w:br/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кустарники </w:t>
            </w:r>
          </w:p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покрытие участка многолетними травами, </w:t>
            </w:r>
          </w:p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 Ковылкин, ул. Мира, площадь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5900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97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300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97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300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 xml:space="preserve">х. Ковылкин, ул. Мира, СДК 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50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50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въезд в                      х. Ковылкин, тополиная аллея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340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340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 Ковылкин, ул. Мира, аллея Героев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2368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44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lang w:eastAsia="en-US"/>
              </w:rPr>
              <w:t>00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40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lang w:eastAsia="en-US"/>
              </w:rPr>
              <w:t>00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ул.Пушкина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4000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16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16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ул.Молодежная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17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17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ул.Новая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ул.Советская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48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48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ул.Мира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46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46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ул.Гагарина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59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ул.Студенческая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ул.Луговая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х.Бабовня,              ул Юбилейная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18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18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 xml:space="preserve">х. Бабовня, 500 м. на восток от ул.Юбилейной, д. 79, а </w:t>
            </w:r>
          </w:p>
          <w:p>
            <w:pPr>
              <w:pStyle w:val="Normal"/>
              <w:spacing w:lineRule="auto" w:line="276"/>
              <w:ind w:hanging="0"/>
              <w:jc w:val="center"/>
              <w:rPr/>
            </w:pPr>
            <w:r>
              <w:rPr>
                <w:sz w:val="20"/>
                <w:szCs w:val="20"/>
              </w:rPr>
              <w:t>Братская могила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/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 Луговой, ул. Мира, парк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78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78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</w:tbl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vertAlign w:val="subscript"/>
        </w:rPr>
        <w:t xml:space="preserve">                                     </w:t>
      </w:r>
    </w:p>
    <w:p>
      <w:pPr>
        <w:pStyle w:val="ConsPlusNormal1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Составил: </w:t>
      </w:r>
      <w:r>
        <w:rPr>
          <w:rFonts w:cs="Times New Roman" w:ascii="Times New Roman" w:hAnsi="Times New Roman"/>
          <w:sz w:val="24"/>
          <w:szCs w:val="24"/>
          <w:u w:val="single"/>
        </w:rPr>
        <w:t>Кульчугаева В.Н.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</w:rPr>
        <w:t>(Ф.И.О. , специалиста администрации)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Дата «</w:t>
      </w:r>
      <w:r>
        <w:rPr>
          <w:rFonts w:cs="Times New Roman" w:ascii="Times New Roman" w:hAnsi="Times New Roman"/>
          <w:sz w:val="24"/>
          <w:szCs w:val="24"/>
          <w:u w:val="single"/>
        </w:rPr>
        <w:t>01</w:t>
      </w:r>
      <w:r>
        <w:rPr>
          <w:rFonts w:cs="Times New Roman" w:ascii="Times New Roman" w:hAnsi="Times New Roman"/>
          <w:sz w:val="24"/>
          <w:szCs w:val="24"/>
        </w:rPr>
        <w:t xml:space="preserve">» июня </w:t>
      </w:r>
      <w:r>
        <w:rPr>
          <w:rFonts w:cs="Times New Roman" w:ascii="Times New Roman" w:hAnsi="Times New Roman"/>
          <w:sz w:val="24"/>
          <w:szCs w:val="24"/>
          <w:u w:val="single"/>
        </w:rPr>
        <w:t>2021</w:t>
      </w:r>
      <w:r>
        <w:rPr>
          <w:rFonts w:cs="Times New Roman" w:ascii="Times New Roman" w:hAnsi="Times New Roman"/>
          <w:sz w:val="24"/>
          <w:szCs w:val="24"/>
        </w:rPr>
        <w:t xml:space="preserve"> г.                 Подпись ____________</w:t>
      </w:r>
    </w:p>
    <w:sectPr>
      <w:type w:val="nextPage"/>
      <w:pgSz w:orient="landscape" w:w="16838" w:h="11906"/>
      <w:pgMar w:left="567" w:right="567" w:header="0" w:top="567" w:footer="0" w:bottom="567" w:gutter="0"/>
      <w:pgNumType w:start="2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Title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spacing w:lineRule="atLeast" w:line="240" w:before="0" w:after="720"/>
      <w:jc w:val="both"/>
    </w:pPr>
    <w:rPr>
      <w:spacing w:val="1"/>
      <w:sz w:val="27"/>
    </w:rPr>
  </w:style>
  <w:style w:type="paragraph" w:styleId="11">
    <w:name w:val="Абзац списка1"/>
    <w:basedOn w:val="Normal"/>
    <w:qFormat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LibreOffice/5.3.3.2$Windows_X86_64 LibreOffice_project/3d9a8b4b4e538a85e0782bd6c2d430bafe583448</Application>
  <Pages>3</Pages>
  <Words>435</Words>
  <Characters>2321</Characters>
  <CharactersWithSpaces>3110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dcterms:modified xsi:type="dcterms:W3CDTF">2022-03-09T10:30:21Z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